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C4" w:rsidRPr="004720E4" w:rsidRDefault="008A3D2D" w:rsidP="00E762FB">
      <w:pPr>
        <w:spacing w:after="0"/>
        <w:rPr>
          <w:rFonts w:ascii="Calibri" w:hAnsi="Calibri" w:cs="Times New Roman"/>
          <w:b/>
          <w:sz w:val="28"/>
          <w:szCs w:val="24"/>
        </w:rPr>
      </w:pPr>
      <w:r w:rsidRPr="004720E4">
        <w:rPr>
          <w:rFonts w:ascii="Calibri" w:hAnsi="Calibri" w:cs="Times New Roman"/>
          <w:b/>
          <w:sz w:val="28"/>
          <w:szCs w:val="24"/>
        </w:rPr>
        <w:t xml:space="preserve">HİNDİSTAN BAKLİYAT </w:t>
      </w:r>
      <w:r w:rsidR="00DE6DA1">
        <w:rPr>
          <w:rFonts w:ascii="Calibri" w:hAnsi="Calibri" w:cs="Times New Roman"/>
          <w:b/>
          <w:sz w:val="28"/>
          <w:szCs w:val="24"/>
        </w:rPr>
        <w:t xml:space="preserve">SEKTÖRÜ </w:t>
      </w:r>
      <w:r w:rsidRPr="004720E4">
        <w:rPr>
          <w:rFonts w:ascii="Calibri" w:hAnsi="Calibri" w:cs="Times New Roman"/>
          <w:b/>
          <w:sz w:val="28"/>
          <w:szCs w:val="24"/>
        </w:rPr>
        <w:t>RAPORU</w:t>
      </w:r>
    </w:p>
    <w:p w:rsidR="008A3D2D" w:rsidRPr="00CC4D8D" w:rsidRDefault="008A3D2D">
      <w:pPr>
        <w:rPr>
          <w:rFonts w:ascii="Calibri" w:hAnsi="Calibri" w:cs="Times New Roman"/>
          <w:b/>
          <w:sz w:val="24"/>
          <w:szCs w:val="24"/>
        </w:rPr>
      </w:pPr>
      <w:r w:rsidRPr="00CC4D8D">
        <w:rPr>
          <w:rFonts w:ascii="Calibri" w:hAnsi="Calibri" w:cs="Times New Roman"/>
          <w:b/>
          <w:sz w:val="24"/>
          <w:szCs w:val="24"/>
        </w:rPr>
        <w:t>Mart 2016</w:t>
      </w:r>
    </w:p>
    <w:p w:rsidR="008A3D2D" w:rsidRPr="00CC4D8D" w:rsidRDefault="008A3D2D">
      <w:pPr>
        <w:rPr>
          <w:rFonts w:ascii="Calibri" w:hAnsi="Calibri" w:cs="Times New Roman"/>
          <w:b/>
          <w:sz w:val="24"/>
          <w:szCs w:val="24"/>
        </w:rPr>
      </w:pPr>
    </w:p>
    <w:p w:rsidR="008A3D2D" w:rsidRPr="00CC4D8D" w:rsidRDefault="00251C79">
      <w:pPr>
        <w:rPr>
          <w:rFonts w:ascii="Calibri" w:hAnsi="Calibri" w:cs="Times New Roman"/>
          <w:b/>
          <w:sz w:val="24"/>
          <w:szCs w:val="24"/>
          <w:u w:val="single"/>
        </w:rPr>
      </w:pPr>
      <w:r w:rsidRPr="00CC4D8D">
        <w:rPr>
          <w:rFonts w:ascii="Calibri" w:hAnsi="Calibri" w:cs="Times New Roman"/>
          <w:b/>
          <w:sz w:val="24"/>
          <w:szCs w:val="24"/>
          <w:u w:val="single"/>
        </w:rPr>
        <w:t>BAŞLIKLAR</w:t>
      </w:r>
    </w:p>
    <w:p w:rsidR="00251C79" w:rsidRPr="00CC4D8D" w:rsidRDefault="00251C79" w:rsidP="00251C79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CC4D8D">
        <w:rPr>
          <w:rFonts w:ascii="Calibri" w:hAnsi="Calibri" w:cs="Times New Roman"/>
          <w:sz w:val="24"/>
          <w:szCs w:val="24"/>
        </w:rPr>
        <w:t>2015 yılında bakliyatın toplam</w:t>
      </w:r>
      <w:r w:rsidR="008711C7">
        <w:rPr>
          <w:rFonts w:ascii="Calibri" w:hAnsi="Calibri" w:cs="Times New Roman"/>
          <w:sz w:val="24"/>
          <w:szCs w:val="24"/>
        </w:rPr>
        <w:t xml:space="preserve"> yurtiçi</w:t>
      </w:r>
      <w:r w:rsidRPr="00CC4D8D">
        <w:rPr>
          <w:rFonts w:ascii="Calibri" w:hAnsi="Calibri" w:cs="Times New Roman"/>
          <w:sz w:val="24"/>
          <w:szCs w:val="24"/>
        </w:rPr>
        <w:t xml:space="preserve"> satış hacmi %4 büyüyerek </w:t>
      </w:r>
      <w:r w:rsidR="0091004B">
        <w:rPr>
          <w:rFonts w:ascii="Calibri" w:hAnsi="Calibri" w:cs="Times New Roman"/>
          <w:sz w:val="24"/>
          <w:szCs w:val="24"/>
        </w:rPr>
        <w:t>p</w:t>
      </w:r>
      <w:r w:rsidR="00045DB3">
        <w:rPr>
          <w:rFonts w:ascii="Calibri" w:hAnsi="Calibri" w:cs="Times New Roman"/>
          <w:sz w:val="24"/>
          <w:szCs w:val="24"/>
        </w:rPr>
        <w:t xml:space="preserve">azar büyüklüğü </w:t>
      </w:r>
      <w:r w:rsidRPr="00CC4D8D">
        <w:rPr>
          <w:rFonts w:ascii="Calibri" w:hAnsi="Calibri" w:cs="Times New Roman"/>
          <w:sz w:val="24"/>
          <w:szCs w:val="24"/>
        </w:rPr>
        <w:t>29 milyon tona ulaş</w:t>
      </w:r>
      <w:r w:rsidR="00E762FB">
        <w:rPr>
          <w:rFonts w:ascii="Calibri" w:hAnsi="Calibri" w:cs="Times New Roman"/>
          <w:sz w:val="24"/>
          <w:szCs w:val="24"/>
        </w:rPr>
        <w:t>tı.</w:t>
      </w:r>
      <w:r w:rsidRPr="00CC4D8D">
        <w:rPr>
          <w:rFonts w:ascii="Calibri" w:hAnsi="Calibri" w:cs="Times New Roman"/>
          <w:sz w:val="24"/>
          <w:szCs w:val="24"/>
        </w:rPr>
        <w:t xml:space="preserve"> </w:t>
      </w:r>
    </w:p>
    <w:p w:rsidR="00251C79" w:rsidRPr="00CC4D8D" w:rsidRDefault="00745FAA" w:rsidP="00251C79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2015’te b</w:t>
      </w:r>
      <w:r w:rsidR="00251C79" w:rsidRPr="00CC4D8D">
        <w:rPr>
          <w:rFonts w:ascii="Calibri" w:hAnsi="Calibri" w:cs="Times New Roman"/>
          <w:sz w:val="24"/>
          <w:szCs w:val="24"/>
        </w:rPr>
        <w:t>akliyatın ortalama birim fiyatı bugüne kadar kaydedi</w:t>
      </w:r>
      <w:r w:rsidR="00E762FB">
        <w:rPr>
          <w:rFonts w:ascii="Calibri" w:hAnsi="Calibri" w:cs="Times New Roman"/>
          <w:sz w:val="24"/>
          <w:szCs w:val="24"/>
        </w:rPr>
        <w:t xml:space="preserve">len en yüksek değeri gördü. </w:t>
      </w:r>
    </w:p>
    <w:p w:rsidR="00251C79" w:rsidRPr="00CC4D8D" w:rsidRDefault="00745FAA" w:rsidP="00251C79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2015 yılında </w:t>
      </w:r>
      <w:r w:rsidR="007470F7">
        <w:rPr>
          <w:rFonts w:ascii="Calibri" w:hAnsi="Calibri" w:cs="Times New Roman"/>
          <w:sz w:val="24"/>
          <w:szCs w:val="24"/>
        </w:rPr>
        <w:t xml:space="preserve">fasulye ve bezelye dışındaki </w:t>
      </w:r>
      <w:r>
        <w:rPr>
          <w:rFonts w:ascii="Calibri" w:hAnsi="Calibri" w:cs="Times New Roman"/>
          <w:sz w:val="24"/>
          <w:szCs w:val="24"/>
        </w:rPr>
        <w:t>d</w:t>
      </w:r>
      <w:r w:rsidR="00251C79" w:rsidRPr="00CC4D8D">
        <w:rPr>
          <w:rFonts w:ascii="Calibri" w:hAnsi="Calibri" w:cs="Times New Roman"/>
          <w:sz w:val="24"/>
          <w:szCs w:val="24"/>
        </w:rPr>
        <w:t>iğer bakliyat ürünleri</w:t>
      </w:r>
      <w:r w:rsidR="00B82CF6">
        <w:rPr>
          <w:rFonts w:ascii="Calibri" w:hAnsi="Calibri" w:cs="Times New Roman"/>
          <w:sz w:val="24"/>
          <w:szCs w:val="24"/>
        </w:rPr>
        <w:t>,</w:t>
      </w:r>
      <w:r w:rsidR="00251C79" w:rsidRPr="00CC4D8D">
        <w:rPr>
          <w:rFonts w:ascii="Calibri" w:hAnsi="Calibri" w:cs="Times New Roman"/>
          <w:sz w:val="24"/>
          <w:szCs w:val="24"/>
        </w:rPr>
        <w:t xml:space="preserve"> toplam </w:t>
      </w:r>
      <w:r w:rsidR="0000170D">
        <w:rPr>
          <w:rFonts w:ascii="Calibri" w:hAnsi="Calibri" w:cs="Times New Roman"/>
          <w:sz w:val="24"/>
          <w:szCs w:val="24"/>
        </w:rPr>
        <w:t xml:space="preserve">yurtiçi </w:t>
      </w:r>
      <w:r w:rsidR="00251C79" w:rsidRPr="00CC4D8D">
        <w:rPr>
          <w:rFonts w:ascii="Calibri" w:hAnsi="Calibri" w:cs="Times New Roman"/>
          <w:sz w:val="24"/>
          <w:szCs w:val="24"/>
        </w:rPr>
        <w:t>satış hacm</w:t>
      </w:r>
      <w:r>
        <w:rPr>
          <w:rFonts w:ascii="Calibri" w:hAnsi="Calibri" w:cs="Times New Roman"/>
          <w:sz w:val="24"/>
          <w:szCs w:val="24"/>
        </w:rPr>
        <w:t>inde görülen</w:t>
      </w:r>
      <w:r w:rsidR="00251C79" w:rsidRPr="00CC4D8D">
        <w:rPr>
          <w:rFonts w:ascii="Calibri" w:hAnsi="Calibri" w:cs="Times New Roman"/>
          <w:sz w:val="24"/>
          <w:szCs w:val="24"/>
        </w:rPr>
        <w:t xml:space="preserve"> %5’lik büyüme ile en büyük artışı kaydet</w:t>
      </w:r>
      <w:r w:rsidR="00E762FB">
        <w:rPr>
          <w:rFonts w:ascii="Calibri" w:hAnsi="Calibri" w:cs="Times New Roman"/>
          <w:sz w:val="24"/>
          <w:szCs w:val="24"/>
        </w:rPr>
        <w:t>ti.</w:t>
      </w:r>
    </w:p>
    <w:p w:rsidR="00251C79" w:rsidRPr="00CC4D8D" w:rsidRDefault="00251C79" w:rsidP="00251C79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CC4D8D">
        <w:rPr>
          <w:rFonts w:ascii="Calibri" w:hAnsi="Calibri" w:cs="Times New Roman"/>
          <w:sz w:val="24"/>
          <w:szCs w:val="24"/>
        </w:rPr>
        <w:t>2020’ye kadar öngörülen süre içinde bakliyatın toplam satış ha</w:t>
      </w:r>
      <w:r w:rsidR="008C741A" w:rsidRPr="00CC4D8D">
        <w:rPr>
          <w:rFonts w:ascii="Calibri" w:hAnsi="Calibri" w:cs="Times New Roman"/>
          <w:sz w:val="24"/>
          <w:szCs w:val="24"/>
        </w:rPr>
        <w:t>cminin</w:t>
      </w:r>
      <w:r w:rsidR="00EB1AF1">
        <w:rPr>
          <w:rFonts w:ascii="Calibri" w:hAnsi="Calibri" w:cs="Times New Roman"/>
          <w:sz w:val="24"/>
          <w:szCs w:val="24"/>
        </w:rPr>
        <w:t xml:space="preserve"> yıllık</w:t>
      </w:r>
      <w:r w:rsidR="00B82CF6">
        <w:rPr>
          <w:rFonts w:ascii="Calibri" w:hAnsi="Calibri" w:cs="Times New Roman"/>
          <w:sz w:val="24"/>
          <w:szCs w:val="24"/>
        </w:rPr>
        <w:t xml:space="preserve"> büyümede %4 oranında</w:t>
      </w:r>
      <w:r w:rsidR="008C741A" w:rsidRPr="00CC4D8D">
        <w:rPr>
          <w:rFonts w:ascii="Calibri" w:hAnsi="Calibri" w:cs="Times New Roman"/>
          <w:sz w:val="24"/>
          <w:szCs w:val="24"/>
        </w:rPr>
        <w:t xml:space="preserve"> büyümesi ve</w:t>
      </w:r>
      <w:r w:rsidR="00B82CF6">
        <w:rPr>
          <w:rFonts w:ascii="Calibri" w:hAnsi="Calibri" w:cs="Times New Roman"/>
          <w:sz w:val="24"/>
          <w:szCs w:val="24"/>
        </w:rPr>
        <w:t xml:space="preserve"> pazar büyüklüğünün</w:t>
      </w:r>
      <w:r w:rsidR="008C741A" w:rsidRPr="00CC4D8D">
        <w:rPr>
          <w:rFonts w:ascii="Calibri" w:hAnsi="Calibri" w:cs="Times New Roman"/>
          <w:sz w:val="24"/>
          <w:szCs w:val="24"/>
        </w:rPr>
        <w:t xml:space="preserve"> 34 milyon tona ulaşması bekle</w:t>
      </w:r>
      <w:r w:rsidR="00042804">
        <w:rPr>
          <w:rFonts w:ascii="Calibri" w:hAnsi="Calibri" w:cs="Times New Roman"/>
          <w:sz w:val="24"/>
          <w:szCs w:val="24"/>
        </w:rPr>
        <w:t>nmektedir</w:t>
      </w:r>
      <w:r w:rsidR="008C741A" w:rsidRPr="00CC4D8D">
        <w:rPr>
          <w:rFonts w:ascii="Calibri" w:hAnsi="Calibri" w:cs="Times New Roman"/>
          <w:sz w:val="24"/>
          <w:szCs w:val="24"/>
        </w:rPr>
        <w:t>.</w:t>
      </w:r>
    </w:p>
    <w:p w:rsidR="00CC4D8D" w:rsidRPr="00CC4D8D" w:rsidRDefault="00CC4D8D" w:rsidP="00CC4D8D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CC4D8D" w:rsidRPr="00CC4D8D" w:rsidRDefault="00E762FB" w:rsidP="00CC4D8D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b/>
          <w:sz w:val="24"/>
          <w:szCs w:val="24"/>
          <w:u w:val="single"/>
        </w:rPr>
        <w:t>DEĞERLENDİRMELER</w:t>
      </w:r>
    </w:p>
    <w:p w:rsidR="008A3D2D" w:rsidRDefault="007470F7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Olumsuz hava koşulları nedeniyle</w:t>
      </w:r>
      <w:r w:rsidR="00CC4D8D" w:rsidRPr="00CC4D8D">
        <w:rPr>
          <w:rFonts w:ascii="Calibri" w:hAnsi="Calibri" w:cs="Times New Roman"/>
          <w:sz w:val="24"/>
          <w:szCs w:val="24"/>
        </w:rPr>
        <w:t>, 2015 yılı cari dönemde bakliyatın ortalama birim fiyatı yükselmiş</w:t>
      </w:r>
      <w:r w:rsidR="00130336">
        <w:rPr>
          <w:rFonts w:ascii="Calibri" w:hAnsi="Calibri" w:cs="Times New Roman"/>
          <w:sz w:val="24"/>
          <w:szCs w:val="24"/>
        </w:rPr>
        <w:t>tir. Bu</w:t>
      </w:r>
      <w:r>
        <w:rPr>
          <w:rFonts w:ascii="Calibri" w:hAnsi="Calibri" w:cs="Times New Roman"/>
          <w:sz w:val="24"/>
          <w:szCs w:val="24"/>
        </w:rPr>
        <w:t>na bağlı olarak</w:t>
      </w:r>
      <w:r w:rsidR="00130336">
        <w:rPr>
          <w:rFonts w:ascii="Calibri" w:hAnsi="Calibri" w:cs="Times New Roman"/>
          <w:sz w:val="24"/>
          <w:szCs w:val="24"/>
        </w:rPr>
        <w:t xml:space="preserve"> </w:t>
      </w:r>
      <w:r w:rsidR="00E762FB">
        <w:rPr>
          <w:rFonts w:ascii="Calibri" w:hAnsi="Calibri" w:cs="Times New Roman"/>
          <w:sz w:val="24"/>
          <w:szCs w:val="24"/>
        </w:rPr>
        <w:t>2015 yılındaki büyüme oranı, 2010-2015 dönemindeki</w:t>
      </w:r>
      <w:r w:rsidR="008121E2">
        <w:rPr>
          <w:rFonts w:ascii="Calibri" w:hAnsi="Calibri" w:cs="Times New Roman"/>
          <w:sz w:val="24"/>
          <w:szCs w:val="24"/>
        </w:rPr>
        <w:t xml:space="preserve"> büyüme oranı</w:t>
      </w:r>
      <w:r w:rsidR="003862F4">
        <w:rPr>
          <w:rFonts w:ascii="Calibri" w:hAnsi="Calibri" w:cs="Times New Roman"/>
          <w:sz w:val="24"/>
          <w:szCs w:val="24"/>
        </w:rPr>
        <w:t xml:space="preserve"> </w:t>
      </w:r>
      <w:r w:rsidR="00130336">
        <w:rPr>
          <w:rFonts w:ascii="Calibri" w:hAnsi="Calibri" w:cs="Times New Roman"/>
          <w:sz w:val="24"/>
          <w:szCs w:val="24"/>
        </w:rPr>
        <w:t>ortalamasının altında kalmıştır. 2015 yılındaki</w:t>
      </w:r>
      <w:r>
        <w:rPr>
          <w:rFonts w:ascii="Calibri" w:hAnsi="Calibri" w:cs="Times New Roman"/>
          <w:sz w:val="24"/>
          <w:szCs w:val="24"/>
        </w:rPr>
        <w:t xml:space="preserve"> ortalama birim fiyatındaki </w:t>
      </w:r>
      <w:r w:rsidR="00130336">
        <w:rPr>
          <w:rFonts w:ascii="Calibri" w:hAnsi="Calibri" w:cs="Times New Roman"/>
          <w:sz w:val="24"/>
          <w:szCs w:val="24"/>
        </w:rPr>
        <w:t xml:space="preserve">bu artış da </w:t>
      </w:r>
      <w:r w:rsidR="00CC4D8D" w:rsidRPr="00CC4D8D">
        <w:rPr>
          <w:rFonts w:ascii="Calibri" w:hAnsi="Calibri" w:cs="Times New Roman"/>
          <w:sz w:val="24"/>
          <w:szCs w:val="24"/>
        </w:rPr>
        <w:t>bakliyat</w:t>
      </w:r>
      <w:r>
        <w:rPr>
          <w:rFonts w:ascii="Calibri" w:hAnsi="Calibri" w:cs="Times New Roman"/>
          <w:sz w:val="24"/>
          <w:szCs w:val="24"/>
        </w:rPr>
        <w:t xml:space="preserve">ın yurt içi satış hacmini </w:t>
      </w:r>
      <w:r w:rsidR="00CC4D8D" w:rsidRPr="00CC4D8D">
        <w:rPr>
          <w:rFonts w:ascii="Calibri" w:hAnsi="Calibri" w:cs="Times New Roman"/>
          <w:sz w:val="24"/>
          <w:szCs w:val="24"/>
        </w:rPr>
        <w:t>olumsuz etkilemiştir.</w:t>
      </w:r>
    </w:p>
    <w:p w:rsidR="00E037CF" w:rsidRDefault="00E037CF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2015</w:t>
      </w:r>
      <w:r w:rsidR="007470F7">
        <w:rPr>
          <w:rFonts w:ascii="Calibri" w:hAnsi="Calibri" w:cs="Times New Roman"/>
          <w:sz w:val="24"/>
          <w:szCs w:val="24"/>
        </w:rPr>
        <w:t xml:space="preserve"> yılında fasulye ve bezelye dışındaki d</w:t>
      </w:r>
      <w:r w:rsidR="007470F7" w:rsidRPr="00CC4D8D">
        <w:rPr>
          <w:rFonts w:ascii="Calibri" w:hAnsi="Calibri" w:cs="Times New Roman"/>
          <w:sz w:val="24"/>
          <w:szCs w:val="24"/>
        </w:rPr>
        <w:t>iğer bakliyat ürünleri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27BDD">
        <w:rPr>
          <w:rFonts w:ascii="Calibri" w:hAnsi="Calibri" w:cs="Times New Roman"/>
          <w:sz w:val="24"/>
          <w:szCs w:val="24"/>
        </w:rPr>
        <w:t xml:space="preserve">%5’lik büyüme oranı ile en hızlı büyüyen kategori olarak </w:t>
      </w:r>
      <w:r>
        <w:rPr>
          <w:rFonts w:ascii="Calibri" w:hAnsi="Calibri" w:cs="Times New Roman"/>
          <w:sz w:val="24"/>
          <w:szCs w:val="24"/>
        </w:rPr>
        <w:t xml:space="preserve">kayda geçmiştir. </w:t>
      </w:r>
    </w:p>
    <w:p w:rsidR="007F1C58" w:rsidRDefault="007F1C58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Bezelye, hasa</w:t>
      </w:r>
      <w:r w:rsidR="00450F83">
        <w:rPr>
          <w:rFonts w:ascii="Calibri" w:hAnsi="Calibri" w:cs="Times New Roman"/>
          <w:sz w:val="24"/>
          <w:szCs w:val="24"/>
        </w:rPr>
        <w:t xml:space="preserve">dın </w:t>
      </w:r>
      <w:r>
        <w:rPr>
          <w:rFonts w:ascii="Calibri" w:hAnsi="Calibri" w:cs="Times New Roman"/>
          <w:sz w:val="24"/>
          <w:szCs w:val="24"/>
        </w:rPr>
        <w:t>az olması sebebiyle 2015 yılında sadece %</w:t>
      </w:r>
      <w:r w:rsidR="00450F83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1 artış sağlayarak toplam</w:t>
      </w:r>
      <w:r w:rsidR="00C27BDD">
        <w:rPr>
          <w:rFonts w:ascii="Calibri" w:hAnsi="Calibri" w:cs="Times New Roman"/>
          <w:sz w:val="24"/>
          <w:szCs w:val="24"/>
        </w:rPr>
        <w:t xml:space="preserve"> yurt içi satış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BB3AEA">
        <w:rPr>
          <w:rFonts w:ascii="Calibri" w:hAnsi="Calibri" w:cs="Times New Roman"/>
          <w:sz w:val="24"/>
          <w:szCs w:val="24"/>
        </w:rPr>
        <w:t>hac</w:t>
      </w:r>
      <w:r w:rsidR="00C27BDD">
        <w:rPr>
          <w:rFonts w:ascii="Calibri" w:hAnsi="Calibri" w:cs="Times New Roman"/>
          <w:sz w:val="24"/>
          <w:szCs w:val="24"/>
        </w:rPr>
        <w:t xml:space="preserve">mindeki </w:t>
      </w:r>
      <w:r w:rsidR="00BB3AEA">
        <w:rPr>
          <w:rFonts w:ascii="Calibri" w:hAnsi="Calibri" w:cs="Times New Roman"/>
          <w:sz w:val="24"/>
          <w:szCs w:val="24"/>
        </w:rPr>
        <w:t xml:space="preserve">en düşük büyümeyi </w:t>
      </w:r>
      <w:r w:rsidR="00F46DE7">
        <w:rPr>
          <w:rFonts w:ascii="Calibri" w:hAnsi="Calibri" w:cs="Times New Roman"/>
          <w:sz w:val="24"/>
          <w:szCs w:val="24"/>
        </w:rPr>
        <w:t>sağlayan ürün ol</w:t>
      </w:r>
      <w:r w:rsidR="00450F83">
        <w:rPr>
          <w:rFonts w:ascii="Calibri" w:hAnsi="Calibri" w:cs="Times New Roman"/>
          <w:sz w:val="24"/>
          <w:szCs w:val="24"/>
        </w:rPr>
        <w:t>muştur.</w:t>
      </w:r>
    </w:p>
    <w:p w:rsidR="00BB3AEA" w:rsidRPr="006957E4" w:rsidRDefault="00BB3AEA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Süpermarket ve hipermarket dışında kalan perakendeciler piyasanın %77’sine </w:t>
      </w:r>
      <w:proofErr w:type="gramStart"/>
      <w:r>
        <w:rPr>
          <w:rFonts w:ascii="Calibri" w:hAnsi="Calibri" w:cs="Times New Roman"/>
          <w:sz w:val="24"/>
          <w:szCs w:val="24"/>
        </w:rPr>
        <w:t>hakimdir</w:t>
      </w:r>
      <w:proofErr w:type="gramEnd"/>
      <w:r>
        <w:rPr>
          <w:rFonts w:ascii="Calibri" w:hAnsi="Calibri" w:cs="Times New Roman"/>
          <w:sz w:val="24"/>
          <w:szCs w:val="24"/>
        </w:rPr>
        <w:t xml:space="preserve">. Hindistan genelindeki </w:t>
      </w:r>
      <w:r w:rsidR="00857993">
        <w:rPr>
          <w:rFonts w:ascii="Calibri" w:hAnsi="Calibri" w:cs="Times New Roman"/>
          <w:sz w:val="24"/>
          <w:szCs w:val="24"/>
        </w:rPr>
        <w:t xml:space="preserve">pazar yerlerine kolay erişebilmeleri, bakliyat çeşitliliği, </w:t>
      </w:r>
      <w:r w:rsidR="00AB3943">
        <w:rPr>
          <w:rFonts w:ascii="Calibri" w:hAnsi="Calibri" w:cs="Times New Roman"/>
          <w:sz w:val="24"/>
          <w:szCs w:val="24"/>
        </w:rPr>
        <w:t>geniş fiyat aralığı</w:t>
      </w:r>
      <w:r w:rsidR="00857993">
        <w:rPr>
          <w:rFonts w:ascii="Calibri" w:hAnsi="Calibri" w:cs="Times New Roman"/>
          <w:sz w:val="24"/>
          <w:szCs w:val="24"/>
        </w:rPr>
        <w:t xml:space="preserve"> ve ambalajsız bakliyat</w:t>
      </w:r>
      <w:r w:rsidR="00C27BDD">
        <w:rPr>
          <w:rFonts w:ascii="Calibri" w:hAnsi="Calibri" w:cs="Times New Roman"/>
          <w:sz w:val="24"/>
          <w:szCs w:val="24"/>
        </w:rPr>
        <w:t xml:space="preserve"> arzı bu </w:t>
      </w:r>
      <w:proofErr w:type="gramStart"/>
      <w:r w:rsidR="00C27BDD">
        <w:rPr>
          <w:rFonts w:ascii="Calibri" w:hAnsi="Calibri" w:cs="Times New Roman"/>
          <w:sz w:val="24"/>
          <w:szCs w:val="24"/>
        </w:rPr>
        <w:t>hakimiyeti</w:t>
      </w:r>
      <w:proofErr w:type="gramEnd"/>
      <w:r w:rsidR="00C27BDD">
        <w:rPr>
          <w:rFonts w:ascii="Calibri" w:hAnsi="Calibri" w:cs="Times New Roman"/>
          <w:sz w:val="24"/>
          <w:szCs w:val="24"/>
        </w:rPr>
        <w:t xml:space="preserve"> sağlamalarında önemli etkenlerdir.</w:t>
      </w:r>
      <w:r w:rsidR="00045DB3" w:rsidRPr="006957E4">
        <w:rPr>
          <w:rFonts w:ascii="Calibri" w:hAnsi="Calibri" w:cs="Times New Roman"/>
          <w:sz w:val="24"/>
          <w:szCs w:val="24"/>
        </w:rPr>
        <w:t xml:space="preserve"> </w:t>
      </w:r>
      <w:r w:rsidR="004D41FE" w:rsidRPr="006957E4">
        <w:rPr>
          <w:rFonts w:ascii="Calibri" w:hAnsi="Calibri" w:cs="Times New Roman"/>
          <w:sz w:val="24"/>
          <w:szCs w:val="24"/>
        </w:rPr>
        <w:t>Fakat</w:t>
      </w:r>
      <w:r w:rsidR="00045DB3" w:rsidRPr="006957E4">
        <w:rPr>
          <w:rFonts w:ascii="Calibri" w:hAnsi="Calibri" w:cs="Times New Roman"/>
          <w:sz w:val="24"/>
          <w:szCs w:val="24"/>
        </w:rPr>
        <w:t xml:space="preserve"> 2015 </w:t>
      </w:r>
      <w:r w:rsidR="00450F83">
        <w:rPr>
          <w:rFonts w:ascii="Calibri" w:hAnsi="Calibri" w:cs="Times New Roman"/>
          <w:sz w:val="24"/>
          <w:szCs w:val="24"/>
        </w:rPr>
        <w:t xml:space="preserve">yılındaki </w:t>
      </w:r>
      <w:r w:rsidR="00045DB3" w:rsidRPr="006957E4">
        <w:rPr>
          <w:rFonts w:ascii="Calibri" w:hAnsi="Calibri" w:cs="Times New Roman"/>
          <w:sz w:val="24"/>
          <w:szCs w:val="24"/>
        </w:rPr>
        <w:t>birim fiyat artışı gıda sat</w:t>
      </w:r>
      <w:r w:rsidR="006957E4" w:rsidRPr="006957E4">
        <w:rPr>
          <w:rFonts w:ascii="Calibri" w:hAnsi="Calibri" w:cs="Times New Roman"/>
          <w:sz w:val="24"/>
          <w:szCs w:val="24"/>
        </w:rPr>
        <w:t xml:space="preserve">ışlarını </w:t>
      </w:r>
      <w:r w:rsidR="00C27BDD">
        <w:rPr>
          <w:rFonts w:ascii="Calibri" w:hAnsi="Calibri" w:cs="Times New Roman"/>
          <w:sz w:val="24"/>
          <w:szCs w:val="24"/>
        </w:rPr>
        <w:t xml:space="preserve">da </w:t>
      </w:r>
      <w:r w:rsidR="006957E4" w:rsidRPr="006957E4">
        <w:rPr>
          <w:rFonts w:ascii="Calibri" w:hAnsi="Calibri" w:cs="Times New Roman"/>
          <w:sz w:val="24"/>
          <w:szCs w:val="24"/>
        </w:rPr>
        <w:t>olumsuz etkiledi</w:t>
      </w:r>
      <w:r w:rsidR="00673283">
        <w:rPr>
          <w:rFonts w:ascii="Calibri" w:hAnsi="Calibri" w:cs="Times New Roman"/>
          <w:sz w:val="24"/>
          <w:szCs w:val="24"/>
        </w:rPr>
        <w:t>.</w:t>
      </w:r>
    </w:p>
    <w:p w:rsidR="00045DB3" w:rsidRPr="00045DB3" w:rsidRDefault="00045DB3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2015 yılında </w:t>
      </w:r>
      <w:r w:rsidR="00450F83">
        <w:rPr>
          <w:rFonts w:ascii="Calibri" w:hAnsi="Calibri" w:cs="Times New Roman"/>
          <w:sz w:val="24"/>
          <w:szCs w:val="24"/>
        </w:rPr>
        <w:t xml:space="preserve">bakliyat sektöründe </w:t>
      </w:r>
      <w:r>
        <w:rPr>
          <w:rFonts w:ascii="Calibri" w:hAnsi="Calibri" w:cs="Times New Roman"/>
          <w:sz w:val="24"/>
          <w:szCs w:val="24"/>
        </w:rPr>
        <w:t xml:space="preserve">piyasaya yeni ürün sürülmedi. Bunun yerine bakliyatta </w:t>
      </w:r>
      <w:r w:rsidR="00C27BDD">
        <w:rPr>
          <w:rFonts w:ascii="Calibri" w:hAnsi="Calibri" w:cs="Times New Roman"/>
          <w:sz w:val="24"/>
          <w:szCs w:val="24"/>
        </w:rPr>
        <w:t xml:space="preserve">paketleme ve ürün farklılaştırma </w:t>
      </w:r>
      <w:r>
        <w:rPr>
          <w:rFonts w:ascii="Calibri" w:hAnsi="Calibri" w:cs="Times New Roman"/>
          <w:sz w:val="24"/>
          <w:szCs w:val="24"/>
        </w:rPr>
        <w:t>çalışmaları gözlemlendi.</w:t>
      </w:r>
    </w:p>
    <w:p w:rsidR="00045DB3" w:rsidRPr="00471A53" w:rsidRDefault="00045DB3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Bakliyat </w:t>
      </w:r>
      <w:r w:rsidR="00C27BDD">
        <w:rPr>
          <w:rFonts w:ascii="Calibri" w:hAnsi="Calibri" w:cs="Times New Roman"/>
          <w:sz w:val="24"/>
          <w:szCs w:val="24"/>
        </w:rPr>
        <w:t>sektörü</w:t>
      </w:r>
      <w:r w:rsidR="00ED1135">
        <w:rPr>
          <w:rFonts w:ascii="Calibri" w:hAnsi="Calibri" w:cs="Times New Roman"/>
          <w:sz w:val="24"/>
          <w:szCs w:val="24"/>
        </w:rPr>
        <w:t xml:space="preserve">ndeki satışların büyük bir çoğunluğu ambalajsız olarak yapılmıştır. </w:t>
      </w:r>
    </w:p>
    <w:p w:rsidR="009203FF" w:rsidRPr="00ED1135" w:rsidRDefault="00471A53" w:rsidP="009A47A5">
      <w:pPr>
        <w:pStyle w:val="ListeParagraf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>
        <w:t>2015 yılında</w:t>
      </w:r>
      <w:r w:rsidR="006130AE">
        <w:t xml:space="preserve"> bakliyat </w:t>
      </w:r>
      <w:r w:rsidR="00ED1135">
        <w:t xml:space="preserve">sektörünü </w:t>
      </w:r>
      <w:r w:rsidR="006130AE">
        <w:t>etkileyebilecek nitelikte</w:t>
      </w:r>
      <w:r>
        <w:t xml:space="preserve"> hiçbir kampanya veya mevzuat</w:t>
      </w:r>
      <w:r w:rsidR="006130AE">
        <w:t xml:space="preserve"> olmadı.</w:t>
      </w:r>
    </w:p>
    <w:p w:rsidR="00ED1135" w:rsidRDefault="00ED1135" w:rsidP="00ED1135">
      <w:pPr>
        <w:pStyle w:val="ListeParagraf"/>
        <w:jc w:val="both"/>
      </w:pPr>
    </w:p>
    <w:p w:rsidR="00ED1135" w:rsidRDefault="00ED1135" w:rsidP="00ED1135">
      <w:pPr>
        <w:pStyle w:val="ListeParagraf"/>
        <w:jc w:val="both"/>
      </w:pPr>
    </w:p>
    <w:p w:rsidR="00450F83" w:rsidRDefault="00450F83" w:rsidP="00ED1135">
      <w:pPr>
        <w:pStyle w:val="ListeParagraf"/>
        <w:jc w:val="both"/>
      </w:pPr>
    </w:p>
    <w:p w:rsidR="00ED1135" w:rsidRDefault="00ED1135" w:rsidP="00ED1135">
      <w:pPr>
        <w:pStyle w:val="ListeParagraf"/>
        <w:jc w:val="both"/>
      </w:pPr>
    </w:p>
    <w:p w:rsidR="00ED1135" w:rsidRDefault="00ED1135" w:rsidP="00ED1135">
      <w:pPr>
        <w:pStyle w:val="ListeParagraf"/>
        <w:jc w:val="both"/>
      </w:pPr>
    </w:p>
    <w:p w:rsidR="00ED1135" w:rsidRDefault="00ED1135" w:rsidP="00ED1135">
      <w:pPr>
        <w:pStyle w:val="ListeParagraf"/>
        <w:jc w:val="both"/>
      </w:pPr>
    </w:p>
    <w:p w:rsidR="00ED1135" w:rsidRPr="009203FF" w:rsidRDefault="00ED1135" w:rsidP="00ED1135">
      <w:pPr>
        <w:pStyle w:val="ListeParagraf"/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9203FF" w:rsidRDefault="009203FF" w:rsidP="009203FF">
      <w:pPr>
        <w:jc w:val="both"/>
        <w:rPr>
          <w:b/>
          <w:sz w:val="24"/>
          <w:u w:val="single"/>
        </w:rPr>
      </w:pPr>
      <w:r w:rsidRPr="009203FF">
        <w:rPr>
          <w:b/>
          <w:sz w:val="24"/>
          <w:u w:val="single"/>
        </w:rPr>
        <w:lastRenderedPageBreak/>
        <w:t>BEKLENTİLER</w:t>
      </w:r>
    </w:p>
    <w:p w:rsidR="00A94728" w:rsidRPr="00295C89" w:rsidRDefault="00295C89" w:rsidP="00A94728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>
        <w:t xml:space="preserve">Hindistan </w:t>
      </w:r>
      <w:r w:rsidR="001B23EF">
        <w:t>genelinde artan bakliyat tarımı</w:t>
      </w:r>
      <w:r w:rsidR="001021FD">
        <w:t>nın</w:t>
      </w:r>
      <w:r w:rsidR="001B23EF">
        <w:t xml:space="preserve"> ve</w:t>
      </w:r>
      <w:r>
        <w:t xml:space="preserve"> önümüzdeki dönemde beklenen olu</w:t>
      </w:r>
      <w:r w:rsidR="001B23EF">
        <w:t>mlu hava koşulları</w:t>
      </w:r>
      <w:r w:rsidR="001021FD">
        <w:t>nın</w:t>
      </w:r>
      <w:r w:rsidR="001B23EF">
        <w:t xml:space="preserve"> </w:t>
      </w:r>
      <w:r>
        <w:t>bakliyat</w:t>
      </w:r>
      <w:r w:rsidR="001B23EF">
        <w:t xml:space="preserve"> sektöründe</w:t>
      </w:r>
      <w:r w:rsidR="001021FD">
        <w:t xml:space="preserve">ki yurt içi toplam satış hacmini artıracağı </w:t>
      </w:r>
      <w:r w:rsidR="001B23EF">
        <w:t>beklenmektedir.</w:t>
      </w:r>
    </w:p>
    <w:p w:rsidR="00B84906" w:rsidRPr="0073795A" w:rsidRDefault="001B23EF" w:rsidP="00A94728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>
        <w:rPr>
          <w:rFonts w:ascii="Calibri" w:hAnsi="Calibri" w:cs="Times New Roman"/>
          <w:sz w:val="24"/>
          <w:szCs w:val="24"/>
        </w:rPr>
        <w:t>Fasulye ve bezelye dışındaki d</w:t>
      </w:r>
      <w:r w:rsidRPr="00CC4D8D">
        <w:rPr>
          <w:rFonts w:ascii="Calibri" w:hAnsi="Calibri" w:cs="Times New Roman"/>
          <w:sz w:val="24"/>
          <w:szCs w:val="24"/>
        </w:rPr>
        <w:t>iğer bakliyat ürünleri</w:t>
      </w:r>
      <w:r>
        <w:rPr>
          <w:rFonts w:ascii="Calibri" w:hAnsi="Calibri" w:cs="Times New Roman"/>
          <w:sz w:val="24"/>
          <w:szCs w:val="24"/>
        </w:rPr>
        <w:t>ndeki</w:t>
      </w:r>
      <w:r w:rsidR="0073795A">
        <w:t xml:space="preserve"> </w:t>
      </w:r>
      <w:r w:rsidR="00B84906">
        <w:t>artış</w:t>
      </w:r>
      <w:r>
        <w:t>la</w:t>
      </w:r>
      <w:r w:rsidR="001021FD">
        <w:t>,</w:t>
      </w:r>
      <w:r w:rsidR="00B84906">
        <w:t xml:space="preserve"> </w:t>
      </w:r>
      <w:r w:rsidR="0073795A">
        <w:t xml:space="preserve">ilerleyen dönemde </w:t>
      </w:r>
      <w:r w:rsidR="00B84906">
        <w:t>toplam satış hacminin</w:t>
      </w:r>
      <w:r w:rsidR="0073795A">
        <w:t xml:space="preserve"> </w:t>
      </w:r>
      <w:r w:rsidR="00EB1AF1">
        <w:t>yıllık</w:t>
      </w:r>
      <w:r>
        <w:t xml:space="preserve"> </w:t>
      </w:r>
      <w:r w:rsidR="00B84906">
        <w:t xml:space="preserve">%4 oranında büyümesi bekleniyor. </w:t>
      </w:r>
      <w:r>
        <w:t>B</w:t>
      </w:r>
      <w:r w:rsidR="00B84906">
        <w:t>akliyat</w:t>
      </w:r>
      <w:r>
        <w:t xml:space="preserve"> ürünleri </w:t>
      </w:r>
      <w:r w:rsidR="00B84906">
        <w:t>Hindistan’ın birçok yerindeki kırsal ve düşük gelirli tüketiciler için temel gıda maddesi</w:t>
      </w:r>
      <w:r>
        <w:t xml:space="preserve"> olduğundan, bu hususun da yurt içi satış hacmini artıracağı düşünülmektedir.</w:t>
      </w:r>
      <w:r w:rsidR="00B84906">
        <w:t xml:space="preserve"> </w:t>
      </w:r>
    </w:p>
    <w:p w:rsidR="00F347DF" w:rsidRPr="00F347DF" w:rsidRDefault="00850701" w:rsidP="00F347DF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proofErr w:type="spellStart"/>
      <w:r>
        <w:t>Safal</w:t>
      </w:r>
      <w:proofErr w:type="spellEnd"/>
      <w:r>
        <w:t xml:space="preserve"> markası adı altınd</w:t>
      </w:r>
      <w:r w:rsidR="001B23EF">
        <w:t>a bakliyat pazarlayan Ulusal</w:t>
      </w:r>
      <w:r>
        <w:t xml:space="preserve"> Kalkınma Kurulu</w:t>
      </w:r>
      <w:r w:rsidR="001B23EF">
        <w:t>,</w:t>
      </w:r>
      <w:r>
        <w:t xml:space="preserve"> çiftçi</w:t>
      </w:r>
      <w:r w:rsidR="001B23EF">
        <w:t xml:space="preserve"> ve </w:t>
      </w:r>
      <w:r>
        <w:t xml:space="preserve">üretici örgütleri ile bağ kurarak varlığını artırmayı planlamaktadır. </w:t>
      </w:r>
      <w:r w:rsidR="009567D3">
        <w:t xml:space="preserve">Bakliyat ürünlerinin </w:t>
      </w:r>
      <w:r w:rsidR="001021FD">
        <w:t xml:space="preserve">ulusal çapta </w:t>
      </w:r>
      <w:r w:rsidR="009567D3">
        <w:t xml:space="preserve">satın alınması </w:t>
      </w:r>
      <w:r w:rsidR="001021FD">
        <w:t xml:space="preserve">durumunda Ulusal Kalkınma Kurulu da </w:t>
      </w:r>
      <w:r>
        <w:t>önümüzdeki yıllarda bakliyat verimliliğini artırmak için çift</w:t>
      </w:r>
      <w:r w:rsidR="00C37A75">
        <w:t xml:space="preserve">çilere girdi </w:t>
      </w:r>
      <w:bookmarkStart w:id="0" w:name="_GoBack"/>
      <w:bookmarkEnd w:id="0"/>
      <w:r w:rsidR="00C37A75">
        <w:t>ve destek verme faaliyetleri</w:t>
      </w:r>
      <w:r>
        <w:t xml:space="preserve"> sağla</w:t>
      </w:r>
      <w:r w:rsidR="009567D3">
        <w:t>mayı planlamaktadır.</w:t>
      </w:r>
    </w:p>
    <w:p w:rsidR="00F347DF" w:rsidRDefault="00F347DF" w:rsidP="00F347DF">
      <w:pPr>
        <w:jc w:val="both"/>
        <w:rPr>
          <w:b/>
          <w:u w:val="single"/>
        </w:rPr>
      </w:pPr>
    </w:p>
    <w:p w:rsidR="00F347DF" w:rsidRDefault="00A727C0" w:rsidP="00F347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SEKTÖR</w:t>
      </w:r>
      <w:r w:rsidR="00F347DF" w:rsidRPr="00F347DF">
        <w:rPr>
          <w:b/>
          <w:sz w:val="24"/>
          <w:u w:val="single"/>
        </w:rPr>
        <w:t xml:space="preserve"> VERİLERİ</w:t>
      </w:r>
    </w:p>
    <w:p w:rsidR="00451D4E" w:rsidRDefault="00451D4E" w:rsidP="00F347DF">
      <w:pPr>
        <w:jc w:val="both"/>
        <w:rPr>
          <w:b/>
          <w:sz w:val="24"/>
        </w:rPr>
      </w:pPr>
    </w:p>
    <w:p w:rsidR="00F347DF" w:rsidRDefault="00F347DF" w:rsidP="00F347DF">
      <w:pPr>
        <w:jc w:val="both"/>
        <w:rPr>
          <w:sz w:val="24"/>
        </w:rPr>
      </w:pPr>
      <w:r>
        <w:rPr>
          <w:b/>
          <w:sz w:val="24"/>
        </w:rPr>
        <w:t xml:space="preserve">Tablo 1: </w:t>
      </w:r>
      <w:r w:rsidR="0081315B">
        <w:rPr>
          <w:sz w:val="24"/>
        </w:rPr>
        <w:t>Ürün Bazında</w:t>
      </w:r>
      <w:r w:rsidR="00B43B3B">
        <w:rPr>
          <w:sz w:val="24"/>
        </w:rPr>
        <w:t xml:space="preserve"> Bakliyat S</w:t>
      </w:r>
      <w:r>
        <w:rPr>
          <w:sz w:val="24"/>
        </w:rPr>
        <w:t xml:space="preserve">atışları: Toplam </w:t>
      </w:r>
      <w:r w:rsidR="00F35A12">
        <w:rPr>
          <w:sz w:val="24"/>
        </w:rPr>
        <w:t>Satış Hacmi</w:t>
      </w:r>
      <w:r>
        <w:rPr>
          <w:sz w:val="24"/>
        </w:rPr>
        <w:t xml:space="preserve"> 2010-2015</w:t>
      </w:r>
    </w:p>
    <w:p w:rsidR="00F347DF" w:rsidRDefault="00F347DF" w:rsidP="00F347DF">
      <w:pPr>
        <w:jc w:val="both"/>
        <w:rPr>
          <w:sz w:val="24"/>
        </w:rPr>
      </w:pPr>
      <w:r>
        <w:rPr>
          <w:sz w:val="24"/>
        </w:rPr>
        <w:t>‘000 ton</w:t>
      </w:r>
    </w:p>
    <w:tbl>
      <w:tblPr>
        <w:tblStyle w:val="DzTablo11"/>
        <w:tblW w:w="10088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03"/>
        <w:gridCol w:w="1379"/>
        <w:gridCol w:w="1380"/>
        <w:gridCol w:w="1380"/>
        <w:gridCol w:w="1380"/>
        <w:gridCol w:w="1380"/>
      </w:tblGrid>
      <w:tr w:rsidR="002E6F63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E6F63" w:rsidRDefault="002E6F63" w:rsidP="00F347D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79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380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380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380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380" w:type="dxa"/>
          </w:tcPr>
          <w:p w:rsidR="002E6F63" w:rsidRDefault="002E6F63" w:rsidP="00F347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2E6F63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E6F63" w:rsidRDefault="002E6F63" w:rsidP="006B2E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Fasulye</w:t>
            </w:r>
          </w:p>
        </w:tc>
        <w:tc>
          <w:tcPr>
            <w:tcW w:w="1203" w:type="dxa"/>
          </w:tcPr>
          <w:p w:rsidR="002E6F63" w:rsidRDefault="002E6F63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3,646.0</w:t>
            </w:r>
          </w:p>
        </w:tc>
        <w:tc>
          <w:tcPr>
            <w:tcW w:w="1379" w:type="dxa"/>
          </w:tcPr>
          <w:p w:rsidR="002E6F63" w:rsidRDefault="002E6F63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3,791.9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3,905.6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4,100.9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4,203.4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4,329.5</w:t>
            </w:r>
          </w:p>
        </w:tc>
      </w:tr>
      <w:tr w:rsidR="002E6F63" w:rsidTr="00785B5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E6F63" w:rsidRDefault="002E6F63" w:rsidP="006B2E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Bezelye</w:t>
            </w:r>
          </w:p>
        </w:tc>
        <w:tc>
          <w:tcPr>
            <w:tcW w:w="1203" w:type="dxa"/>
          </w:tcPr>
          <w:p w:rsidR="002E6F63" w:rsidRDefault="002E6F63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2,574.7</w:t>
            </w:r>
          </w:p>
        </w:tc>
        <w:tc>
          <w:tcPr>
            <w:tcW w:w="1379" w:type="dxa"/>
          </w:tcPr>
          <w:p w:rsidR="002E6F63" w:rsidRDefault="002E6F63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2,989.5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3,183.3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3,349.9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3,249.0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3,265.2</w:t>
            </w:r>
          </w:p>
        </w:tc>
      </w:tr>
      <w:tr w:rsidR="002E6F63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E6F63" w:rsidRDefault="002E6F63" w:rsidP="006B2E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Diğer Bakliyat</w:t>
            </w:r>
          </w:p>
        </w:tc>
        <w:tc>
          <w:tcPr>
            <w:tcW w:w="1203" w:type="dxa"/>
          </w:tcPr>
          <w:p w:rsidR="002E6F63" w:rsidRDefault="002E6F63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14,685.2</w:t>
            </w:r>
          </w:p>
        </w:tc>
        <w:tc>
          <w:tcPr>
            <w:tcW w:w="1379" w:type="dxa"/>
          </w:tcPr>
          <w:p w:rsidR="002E6F63" w:rsidRDefault="002E6F63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15,845.4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17,033.8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18,396.5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20,052.1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21,054.8</w:t>
            </w:r>
          </w:p>
        </w:tc>
      </w:tr>
      <w:tr w:rsidR="002E6F63" w:rsidTr="00785B5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2E6F63" w:rsidRDefault="002E6F63" w:rsidP="006B2E4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Bakliyat</w:t>
            </w:r>
          </w:p>
        </w:tc>
        <w:tc>
          <w:tcPr>
            <w:tcW w:w="1203" w:type="dxa"/>
          </w:tcPr>
          <w:p w:rsidR="002E6F63" w:rsidRDefault="002E6F63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20,905.9</w:t>
            </w:r>
          </w:p>
        </w:tc>
        <w:tc>
          <w:tcPr>
            <w:tcW w:w="1379" w:type="dxa"/>
          </w:tcPr>
          <w:p w:rsidR="002E6F63" w:rsidRDefault="002E6F63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E6F63">
              <w:rPr>
                <w:sz w:val="24"/>
              </w:rPr>
              <w:t>22,626.7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24,122.6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25,847.2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27,504.5</w:t>
            </w:r>
          </w:p>
        </w:tc>
        <w:tc>
          <w:tcPr>
            <w:tcW w:w="1380" w:type="dxa"/>
          </w:tcPr>
          <w:p w:rsidR="002E6F63" w:rsidRDefault="004C0172" w:rsidP="002E6F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C0172">
              <w:rPr>
                <w:sz w:val="24"/>
              </w:rPr>
              <w:t>28,649.5</w:t>
            </w:r>
          </w:p>
        </w:tc>
      </w:tr>
    </w:tbl>
    <w:p w:rsidR="00F347DF" w:rsidRDefault="00B43B3B" w:rsidP="00F347DF">
      <w:pPr>
        <w:jc w:val="both"/>
        <w:rPr>
          <w:sz w:val="15"/>
          <w:szCs w:val="15"/>
        </w:rPr>
      </w:pPr>
      <w:r>
        <w:rPr>
          <w:sz w:val="16"/>
          <w:szCs w:val="16"/>
        </w:rPr>
        <w:t xml:space="preserve">Kaynak: </w:t>
      </w:r>
      <w:proofErr w:type="spellStart"/>
      <w:r>
        <w:rPr>
          <w:sz w:val="15"/>
          <w:szCs w:val="15"/>
        </w:rPr>
        <w:t>Euromonitor</w:t>
      </w:r>
      <w:proofErr w:type="spellEnd"/>
      <w:r>
        <w:rPr>
          <w:sz w:val="15"/>
          <w:szCs w:val="15"/>
        </w:rPr>
        <w:t xml:space="preserve"> International</w:t>
      </w:r>
    </w:p>
    <w:p w:rsidR="009F63E0" w:rsidRDefault="009F63E0" w:rsidP="00F347DF">
      <w:pPr>
        <w:jc w:val="both"/>
        <w:rPr>
          <w:b/>
          <w:sz w:val="24"/>
          <w:szCs w:val="24"/>
        </w:rPr>
      </w:pPr>
    </w:p>
    <w:p w:rsidR="009F63E0" w:rsidRDefault="009F63E0" w:rsidP="00F347DF">
      <w:pPr>
        <w:jc w:val="both"/>
        <w:rPr>
          <w:b/>
          <w:sz w:val="24"/>
          <w:szCs w:val="24"/>
        </w:rPr>
      </w:pPr>
    </w:p>
    <w:p w:rsidR="009F63E0" w:rsidRDefault="009F63E0" w:rsidP="00F347DF">
      <w:pPr>
        <w:jc w:val="both"/>
        <w:rPr>
          <w:b/>
          <w:sz w:val="24"/>
          <w:szCs w:val="24"/>
        </w:rPr>
      </w:pPr>
    </w:p>
    <w:p w:rsidR="00B43B3B" w:rsidRDefault="00B43B3B" w:rsidP="00F347DF">
      <w:pPr>
        <w:jc w:val="both"/>
        <w:rPr>
          <w:sz w:val="24"/>
          <w:szCs w:val="24"/>
        </w:rPr>
      </w:pPr>
      <w:r w:rsidRPr="00B43B3B">
        <w:rPr>
          <w:b/>
          <w:sz w:val="24"/>
          <w:szCs w:val="24"/>
        </w:rPr>
        <w:t xml:space="preserve">Tablo 2: </w:t>
      </w:r>
      <w:r w:rsidR="0081315B">
        <w:rPr>
          <w:sz w:val="24"/>
          <w:szCs w:val="24"/>
        </w:rPr>
        <w:t>Ürün Bazında</w:t>
      </w:r>
      <w:r>
        <w:rPr>
          <w:sz w:val="24"/>
          <w:szCs w:val="24"/>
        </w:rPr>
        <w:t xml:space="preserve"> Bakliyat Satışları: % Toplam Hacim Büyümesi 2010-2015</w:t>
      </w:r>
    </w:p>
    <w:p w:rsidR="00B43B3B" w:rsidRDefault="009F63E0" w:rsidP="00F347DF">
      <w:pPr>
        <w:jc w:val="both"/>
        <w:rPr>
          <w:sz w:val="24"/>
          <w:szCs w:val="24"/>
        </w:rPr>
      </w:pPr>
      <w:r>
        <w:rPr>
          <w:sz w:val="24"/>
          <w:szCs w:val="24"/>
        </w:rPr>
        <w:t>% toplam hacim büyümesi</w:t>
      </w:r>
    </w:p>
    <w:tbl>
      <w:tblPr>
        <w:tblStyle w:val="DzTablo11"/>
        <w:tblW w:w="9969" w:type="dxa"/>
        <w:tblInd w:w="-431" w:type="dxa"/>
        <w:tblLook w:val="04A0" w:firstRow="1" w:lastRow="0" w:firstColumn="1" w:lastColumn="0" w:noHBand="0" w:noVBand="1"/>
      </w:tblPr>
      <w:tblGrid>
        <w:gridCol w:w="2814"/>
        <w:gridCol w:w="2383"/>
        <w:gridCol w:w="2386"/>
        <w:gridCol w:w="2386"/>
      </w:tblGrid>
      <w:tr w:rsidR="009F63E0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9F63E0" w:rsidRDefault="009F63E0" w:rsidP="00F34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9F63E0" w:rsidRDefault="009F63E0" w:rsidP="009F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2014/15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2010-15 CAGR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2010/15 Toplam</w:t>
            </w:r>
          </w:p>
        </w:tc>
      </w:tr>
      <w:tr w:rsidR="009F63E0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9F63E0" w:rsidRDefault="009F63E0" w:rsidP="00F3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Fasulye</w:t>
            </w:r>
          </w:p>
        </w:tc>
        <w:tc>
          <w:tcPr>
            <w:tcW w:w="2383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3.0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3.5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18.7</w:t>
            </w:r>
          </w:p>
        </w:tc>
      </w:tr>
      <w:tr w:rsidR="009F63E0" w:rsidTr="00785B5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9F63E0" w:rsidRDefault="009F63E0" w:rsidP="00F3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Bezelye</w:t>
            </w:r>
          </w:p>
        </w:tc>
        <w:tc>
          <w:tcPr>
            <w:tcW w:w="2383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0.5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4.9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26.8</w:t>
            </w:r>
          </w:p>
        </w:tc>
      </w:tr>
      <w:tr w:rsidR="009F63E0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9F63E0" w:rsidRDefault="009F63E0" w:rsidP="00F3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Diğer Bakliyat</w:t>
            </w:r>
          </w:p>
        </w:tc>
        <w:tc>
          <w:tcPr>
            <w:tcW w:w="2383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5.0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7.5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43.4</w:t>
            </w:r>
          </w:p>
        </w:tc>
      </w:tr>
      <w:tr w:rsidR="009F63E0" w:rsidTr="00785B56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4" w:type="dxa"/>
          </w:tcPr>
          <w:p w:rsidR="009F63E0" w:rsidRDefault="009F63E0" w:rsidP="00F347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Bakliyat</w:t>
            </w:r>
          </w:p>
        </w:tc>
        <w:tc>
          <w:tcPr>
            <w:tcW w:w="2383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4.2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6.5</w:t>
            </w:r>
          </w:p>
        </w:tc>
        <w:tc>
          <w:tcPr>
            <w:tcW w:w="2386" w:type="dxa"/>
          </w:tcPr>
          <w:p w:rsidR="009F63E0" w:rsidRDefault="009F63E0" w:rsidP="009F6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63E0">
              <w:rPr>
                <w:sz w:val="24"/>
                <w:szCs w:val="24"/>
              </w:rPr>
              <w:t>37.0</w:t>
            </w:r>
          </w:p>
        </w:tc>
      </w:tr>
    </w:tbl>
    <w:p w:rsidR="009F63E0" w:rsidRDefault="009F63E0" w:rsidP="009F63E0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CAGR: </w:t>
      </w:r>
      <w:proofErr w:type="spellStart"/>
      <w:r>
        <w:rPr>
          <w:rFonts w:ascii="Calibri" w:hAnsi="Calibri" w:cs="Times New Roman"/>
          <w:sz w:val="16"/>
          <w:szCs w:val="16"/>
        </w:rPr>
        <w:t>Compound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Annual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Growth</w:t>
      </w:r>
      <w:proofErr w:type="spellEnd"/>
      <w:r>
        <w:rPr>
          <w:rFonts w:ascii="Calibri" w:hAnsi="Calibri" w:cs="Times New Roman"/>
          <w:sz w:val="16"/>
          <w:szCs w:val="16"/>
        </w:rPr>
        <w:t xml:space="preserve"> Rate (Yıllık bileşik büyüme oranı)</w:t>
      </w:r>
    </w:p>
    <w:p w:rsidR="009F63E0" w:rsidRDefault="009F63E0" w:rsidP="009F63E0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6B2E4C" w:rsidRDefault="006B2E4C" w:rsidP="009F63E0">
      <w:pPr>
        <w:spacing w:line="240" w:lineRule="auto"/>
        <w:jc w:val="both"/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Tablo 3: </w:t>
      </w:r>
      <w:r>
        <w:rPr>
          <w:rFonts w:ascii="Calibri" w:hAnsi="Calibri" w:cs="Times New Roman"/>
          <w:sz w:val="24"/>
          <w:szCs w:val="24"/>
        </w:rPr>
        <w:t xml:space="preserve">Ambalajlı-Ambalajsız Olmasına Göre Bakliyat Satışları: </w:t>
      </w:r>
      <w:r>
        <w:t>% Toplam Hacim 2013-2015</w:t>
      </w:r>
    </w:p>
    <w:p w:rsidR="006B2E4C" w:rsidRDefault="006B2E4C" w:rsidP="009F63E0">
      <w:pPr>
        <w:spacing w:line="240" w:lineRule="auto"/>
        <w:jc w:val="both"/>
      </w:pPr>
      <w:r>
        <w:t>% perakende hacmi</w:t>
      </w:r>
    </w:p>
    <w:tbl>
      <w:tblPr>
        <w:tblStyle w:val="DzTablo11"/>
        <w:tblW w:w="10061" w:type="dxa"/>
        <w:tblInd w:w="-431" w:type="dxa"/>
        <w:tblLook w:val="04A0" w:firstRow="1" w:lastRow="0" w:firstColumn="1" w:lastColumn="0" w:noHBand="0" w:noVBand="1"/>
      </w:tblPr>
      <w:tblGrid>
        <w:gridCol w:w="2838"/>
        <w:gridCol w:w="2407"/>
        <w:gridCol w:w="2408"/>
        <w:gridCol w:w="2408"/>
      </w:tblGrid>
      <w:tr w:rsidR="006B2E4C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6B2E4C" w:rsidRDefault="006B2E4C" w:rsidP="009F63E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B2E4C" w:rsidRDefault="006B2E4C" w:rsidP="006B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6B2E4C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6B2E4C" w:rsidRDefault="006B2E4C" w:rsidP="009F63E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Ambalajlı</w:t>
            </w:r>
          </w:p>
        </w:tc>
        <w:tc>
          <w:tcPr>
            <w:tcW w:w="2407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1.5</w:t>
            </w:r>
          </w:p>
        </w:tc>
      </w:tr>
      <w:tr w:rsidR="006B2E4C" w:rsidTr="00785B5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6B2E4C" w:rsidRDefault="006B2E4C" w:rsidP="009F63E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Ambalajsız</w:t>
            </w:r>
          </w:p>
        </w:tc>
        <w:tc>
          <w:tcPr>
            <w:tcW w:w="2407" w:type="dxa"/>
          </w:tcPr>
          <w:p w:rsidR="006B2E4C" w:rsidRDefault="006B2E4C" w:rsidP="006B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99.0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99.0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98.5</w:t>
            </w:r>
          </w:p>
        </w:tc>
      </w:tr>
      <w:tr w:rsidR="006B2E4C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6B2E4C" w:rsidRDefault="006B2E4C" w:rsidP="009F63E0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Toplam</w:t>
            </w:r>
          </w:p>
        </w:tc>
        <w:tc>
          <w:tcPr>
            <w:tcW w:w="2407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2408" w:type="dxa"/>
          </w:tcPr>
          <w:p w:rsidR="006B2E4C" w:rsidRDefault="006B2E4C" w:rsidP="006B2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</w:tr>
    </w:tbl>
    <w:p w:rsidR="006B2E4C" w:rsidRPr="006B2E4C" w:rsidRDefault="006B2E4C" w:rsidP="006B2E4C">
      <w:pPr>
        <w:spacing w:line="36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451D4E" w:rsidRDefault="00451D4E" w:rsidP="00DB5FEE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6B2E4C" w:rsidRPr="00DB5FEE" w:rsidRDefault="006B2E4C" w:rsidP="00DB5FEE">
      <w:pPr>
        <w:spacing w:line="360" w:lineRule="auto"/>
        <w:jc w:val="both"/>
      </w:pPr>
      <w:r w:rsidRPr="00DB5FEE">
        <w:rPr>
          <w:rFonts w:ascii="Calibri" w:hAnsi="Calibri" w:cs="Times New Roman"/>
          <w:b/>
          <w:sz w:val="24"/>
          <w:szCs w:val="24"/>
        </w:rPr>
        <w:t xml:space="preserve">Tablo 4: </w:t>
      </w:r>
      <w:r w:rsidR="00083AC3">
        <w:rPr>
          <w:rFonts w:ascii="Calibri" w:hAnsi="Calibri" w:cs="Times New Roman"/>
          <w:sz w:val="24"/>
          <w:szCs w:val="24"/>
        </w:rPr>
        <w:t>Organik, Tohumluk ve Standart</w:t>
      </w:r>
      <w:r w:rsidRPr="00DB5FEE">
        <w:rPr>
          <w:rFonts w:ascii="Calibri" w:hAnsi="Calibri" w:cs="Times New Roman"/>
          <w:sz w:val="24"/>
          <w:szCs w:val="24"/>
        </w:rPr>
        <w:t xml:space="preserve"> Bakliyat Satışları: </w:t>
      </w:r>
      <w:r w:rsidRPr="00DB5FEE">
        <w:t>% Toplam Hacim 2012-2015</w:t>
      </w:r>
    </w:p>
    <w:p w:rsidR="006B2E4C" w:rsidRDefault="006B2E4C" w:rsidP="006B2E4C">
      <w:pPr>
        <w:spacing w:line="360" w:lineRule="auto"/>
        <w:jc w:val="both"/>
      </w:pPr>
      <w:r>
        <w:t>% toplam hacim</w:t>
      </w:r>
    </w:p>
    <w:tbl>
      <w:tblPr>
        <w:tblStyle w:val="DzTablo11"/>
        <w:tblW w:w="1008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738"/>
        <w:gridCol w:w="1930"/>
        <w:gridCol w:w="1933"/>
        <w:gridCol w:w="1933"/>
      </w:tblGrid>
      <w:tr w:rsidR="006B2E4C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6B2E4C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B2E4C" w:rsidRDefault="006B2E4C" w:rsidP="006B2E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930" w:type="dxa"/>
          </w:tcPr>
          <w:p w:rsidR="006B2E4C" w:rsidRDefault="006B2E4C" w:rsidP="006B2E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933" w:type="dxa"/>
          </w:tcPr>
          <w:p w:rsidR="006B2E4C" w:rsidRDefault="006B2E4C" w:rsidP="006B2E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933" w:type="dxa"/>
          </w:tcPr>
          <w:p w:rsidR="006B2E4C" w:rsidRDefault="006B2E4C" w:rsidP="006B2E4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6B2E4C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931159" w:rsidP="006B2E4C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Bakliyat tohumu</w:t>
            </w:r>
          </w:p>
        </w:tc>
        <w:tc>
          <w:tcPr>
            <w:tcW w:w="1738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1930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</w:tr>
      <w:tr w:rsidR="006B2E4C" w:rsidTr="00785B5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6B2E4C" w:rsidP="006B2E4C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Organik / </w:t>
            </w:r>
          </w:p>
          <w:p w:rsidR="006B2E4C" w:rsidRDefault="00931159" w:rsidP="006B2E4C">
            <w:pPr>
              <w:spacing w:line="36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Bakliyat tohumu</w:t>
            </w:r>
          </w:p>
        </w:tc>
        <w:tc>
          <w:tcPr>
            <w:tcW w:w="1738" w:type="dxa"/>
          </w:tcPr>
          <w:p w:rsidR="006B2E4C" w:rsidRDefault="006B2E4C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1930" w:type="dxa"/>
          </w:tcPr>
          <w:p w:rsidR="006B2E4C" w:rsidRDefault="006B2E4C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0.0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0.5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0.6</w:t>
            </w:r>
          </w:p>
        </w:tc>
      </w:tr>
      <w:tr w:rsidR="006B2E4C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6B2E4C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Standart </w:t>
            </w:r>
          </w:p>
        </w:tc>
        <w:tc>
          <w:tcPr>
            <w:tcW w:w="1738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930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99.5</w:t>
            </w:r>
          </w:p>
        </w:tc>
        <w:tc>
          <w:tcPr>
            <w:tcW w:w="1933" w:type="dxa"/>
          </w:tcPr>
          <w:p w:rsidR="006B2E4C" w:rsidRDefault="006B2E4C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6B2E4C">
              <w:rPr>
                <w:rFonts w:ascii="Calibri" w:hAnsi="Calibri" w:cs="Times New Roman"/>
                <w:sz w:val="24"/>
                <w:szCs w:val="24"/>
              </w:rPr>
              <w:t>99.4</w:t>
            </w:r>
          </w:p>
        </w:tc>
      </w:tr>
      <w:tr w:rsidR="006B2E4C" w:rsidTr="00785B5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6B2E4C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Organik</w:t>
            </w:r>
          </w:p>
        </w:tc>
        <w:tc>
          <w:tcPr>
            <w:tcW w:w="1738" w:type="dxa"/>
          </w:tcPr>
          <w:p w:rsidR="006B2E4C" w:rsidRDefault="004007A8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6B2E4C" w:rsidRDefault="004007A8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6B2E4C" w:rsidRDefault="004007A8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933" w:type="dxa"/>
          </w:tcPr>
          <w:p w:rsidR="006B2E4C" w:rsidRDefault="004007A8" w:rsidP="004007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</w:tr>
      <w:tr w:rsidR="006B2E4C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6B2E4C" w:rsidRDefault="006B2E4C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1738" w:type="dxa"/>
          </w:tcPr>
          <w:p w:rsidR="006B2E4C" w:rsidRDefault="004007A8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4007A8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930" w:type="dxa"/>
          </w:tcPr>
          <w:p w:rsidR="006B2E4C" w:rsidRDefault="004007A8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4007A8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933" w:type="dxa"/>
          </w:tcPr>
          <w:p w:rsidR="006B2E4C" w:rsidRDefault="004007A8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4007A8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933" w:type="dxa"/>
          </w:tcPr>
          <w:p w:rsidR="006B2E4C" w:rsidRDefault="004007A8" w:rsidP="004007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4007A8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</w:tr>
    </w:tbl>
    <w:p w:rsidR="006B2E4C" w:rsidRDefault="004007A8" w:rsidP="006B2E4C">
      <w:pPr>
        <w:spacing w:line="36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931159" w:rsidRDefault="00931159" w:rsidP="006B2E4C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2F3560" w:rsidRDefault="002F3560" w:rsidP="006B2E4C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4007A8" w:rsidRDefault="004007A8" w:rsidP="006B2E4C">
      <w:pPr>
        <w:spacing w:line="360" w:lineRule="auto"/>
        <w:jc w:val="both"/>
        <w:rPr>
          <w:rStyle w:val="shorttext"/>
        </w:rPr>
      </w:pPr>
      <w:r w:rsidRPr="004007A8">
        <w:rPr>
          <w:rFonts w:ascii="Calibri" w:hAnsi="Calibri" w:cs="Times New Roman"/>
          <w:b/>
          <w:sz w:val="24"/>
          <w:szCs w:val="24"/>
        </w:rPr>
        <w:t>Tablo 5: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707C14">
        <w:rPr>
          <w:rFonts w:ascii="Calibri" w:hAnsi="Calibri" w:cs="Times New Roman"/>
          <w:sz w:val="24"/>
          <w:szCs w:val="24"/>
        </w:rPr>
        <w:t>Bakliyat Sektöründeki Satış Kanalları</w:t>
      </w:r>
      <w:r w:rsidR="00CC35A3">
        <w:rPr>
          <w:rFonts w:ascii="Calibri" w:hAnsi="Calibri" w:cs="Times New Roman"/>
          <w:sz w:val="24"/>
          <w:szCs w:val="24"/>
        </w:rPr>
        <w:t xml:space="preserve">: </w:t>
      </w:r>
      <w:r w:rsidR="00CC35A3">
        <w:rPr>
          <w:rStyle w:val="shorttext"/>
        </w:rPr>
        <w:t>% Toplam Hacim 2010-2015</w:t>
      </w:r>
    </w:p>
    <w:p w:rsidR="00931159" w:rsidRPr="00CC35A3" w:rsidRDefault="00CC35A3" w:rsidP="006B2E4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Style w:val="shorttext"/>
        </w:rPr>
        <w:t>% toplam hacim</w:t>
      </w:r>
    </w:p>
    <w:tbl>
      <w:tblPr>
        <w:tblStyle w:val="DzTablo11"/>
        <w:tblW w:w="10067" w:type="dxa"/>
        <w:tblInd w:w="-431" w:type="dxa"/>
        <w:tblLook w:val="04A0" w:firstRow="1" w:lastRow="0" w:firstColumn="1" w:lastColumn="0" w:noHBand="0" w:noVBand="1"/>
      </w:tblPr>
      <w:tblGrid>
        <w:gridCol w:w="1807"/>
        <w:gridCol w:w="1376"/>
        <w:gridCol w:w="1376"/>
        <w:gridCol w:w="1377"/>
        <w:gridCol w:w="1377"/>
        <w:gridCol w:w="1377"/>
        <w:gridCol w:w="1377"/>
      </w:tblGrid>
      <w:tr w:rsidR="00931159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31159" w:rsidRDefault="0093115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2010</w:t>
            </w:r>
          </w:p>
        </w:tc>
        <w:tc>
          <w:tcPr>
            <w:tcW w:w="1376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2011</w:t>
            </w:r>
          </w:p>
        </w:tc>
        <w:tc>
          <w:tcPr>
            <w:tcW w:w="1377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2012</w:t>
            </w:r>
          </w:p>
        </w:tc>
        <w:tc>
          <w:tcPr>
            <w:tcW w:w="1377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2013</w:t>
            </w:r>
          </w:p>
        </w:tc>
        <w:tc>
          <w:tcPr>
            <w:tcW w:w="1377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2014</w:t>
            </w:r>
          </w:p>
        </w:tc>
        <w:tc>
          <w:tcPr>
            <w:tcW w:w="1377" w:type="dxa"/>
          </w:tcPr>
          <w:p w:rsidR="00931159" w:rsidRDefault="00931159" w:rsidP="0093115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</w:tr>
      <w:tr w:rsidR="00F847F1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31159" w:rsidRDefault="0093115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Perakende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79.6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77.5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78.0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77.4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76.1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76.9</w:t>
            </w:r>
          </w:p>
        </w:tc>
      </w:tr>
      <w:tr w:rsidR="00931159" w:rsidTr="00785B5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31159" w:rsidRDefault="00F847F1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Gıda Sektörü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20.4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22.5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22.0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22.3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23.4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22.5</w:t>
            </w:r>
          </w:p>
        </w:tc>
      </w:tr>
      <w:tr w:rsidR="00F847F1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31159" w:rsidRDefault="00F847F1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Kurumsal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0.3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0.5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0.6</w:t>
            </w:r>
          </w:p>
        </w:tc>
      </w:tr>
      <w:tr w:rsidR="00931159" w:rsidTr="00785B5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931159" w:rsidRDefault="00F847F1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376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  <w:tc>
          <w:tcPr>
            <w:tcW w:w="1377" w:type="dxa"/>
          </w:tcPr>
          <w:p w:rsidR="00931159" w:rsidRDefault="00F847F1" w:rsidP="00F847F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F847F1">
              <w:rPr>
                <w:rFonts w:ascii="Calibri" w:hAnsi="Calibri" w:cs="Times New Roman"/>
                <w:sz w:val="24"/>
                <w:szCs w:val="24"/>
              </w:rPr>
              <w:t>100.0</w:t>
            </w:r>
          </w:p>
        </w:tc>
      </w:tr>
    </w:tbl>
    <w:p w:rsidR="00CC35A3" w:rsidRDefault="00451D4E" w:rsidP="006B2E4C">
      <w:pPr>
        <w:spacing w:line="36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451D4E" w:rsidRDefault="00451D4E" w:rsidP="006B2E4C">
      <w:pPr>
        <w:spacing w:line="360" w:lineRule="auto"/>
        <w:jc w:val="both"/>
        <w:rPr>
          <w:rFonts w:ascii="Calibri" w:hAnsi="Calibri" w:cs="Times New Roman"/>
          <w:b/>
          <w:sz w:val="24"/>
          <w:szCs w:val="24"/>
        </w:rPr>
      </w:pPr>
    </w:p>
    <w:p w:rsidR="00451D4E" w:rsidRDefault="00451D4E" w:rsidP="006B2E4C">
      <w:pPr>
        <w:spacing w:line="360" w:lineRule="auto"/>
        <w:jc w:val="both"/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Tablo 6: </w:t>
      </w:r>
      <w:r w:rsidR="002F3560">
        <w:rPr>
          <w:rFonts w:ascii="Calibri" w:hAnsi="Calibri" w:cs="Times New Roman"/>
          <w:sz w:val="24"/>
          <w:szCs w:val="24"/>
        </w:rPr>
        <w:t>Ürün Bazında</w:t>
      </w:r>
      <w:r>
        <w:rPr>
          <w:rFonts w:ascii="Calibri" w:hAnsi="Calibri" w:cs="Times New Roman"/>
          <w:sz w:val="24"/>
          <w:szCs w:val="24"/>
        </w:rPr>
        <w:t xml:space="preserve"> Tahmini Bakliyat Satışı: </w:t>
      </w:r>
      <w:r>
        <w:t>Toplam Hacim 2015-2020</w:t>
      </w:r>
    </w:p>
    <w:p w:rsidR="00451D4E" w:rsidRDefault="00451D4E" w:rsidP="006B2E4C">
      <w:pPr>
        <w:spacing w:line="360" w:lineRule="auto"/>
        <w:jc w:val="both"/>
      </w:pPr>
      <w:r>
        <w:t>‘000 ton</w:t>
      </w:r>
    </w:p>
    <w:tbl>
      <w:tblPr>
        <w:tblStyle w:val="DzTablo11"/>
        <w:tblW w:w="10046" w:type="dxa"/>
        <w:tblInd w:w="-431" w:type="dxa"/>
        <w:tblLook w:val="04A0" w:firstRow="1" w:lastRow="0" w:firstColumn="1" w:lastColumn="0" w:noHBand="0" w:noVBand="1"/>
      </w:tblPr>
      <w:tblGrid>
        <w:gridCol w:w="1804"/>
        <w:gridCol w:w="1373"/>
        <w:gridCol w:w="1373"/>
        <w:gridCol w:w="1374"/>
        <w:gridCol w:w="1374"/>
        <w:gridCol w:w="1374"/>
        <w:gridCol w:w="1374"/>
      </w:tblGrid>
      <w:tr w:rsidR="00451D4E" w:rsidTr="0078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1D4E" w:rsidRDefault="00451D4E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2015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2016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2020</w:t>
            </w:r>
          </w:p>
        </w:tc>
      </w:tr>
      <w:tr w:rsidR="00451D4E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1D4E" w:rsidRDefault="00785B56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Fasulye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4,329.5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4,468.1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4,602.1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4,731.0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4,854.0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4,975.3</w:t>
            </w:r>
          </w:p>
        </w:tc>
      </w:tr>
      <w:tr w:rsidR="00451D4E" w:rsidTr="00785B5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1D4E" w:rsidRDefault="00785B56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Bezelye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3,265.2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3,297.9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3,337.4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3,387.5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3,455.2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3,541.6</w:t>
            </w:r>
          </w:p>
        </w:tc>
      </w:tr>
      <w:tr w:rsidR="00451D4E" w:rsidTr="0078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1D4E" w:rsidRDefault="00785B56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Diğer Bakliyat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21,054.8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22,002.2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22,948.3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23,912.1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24,868.6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25,838.5</w:t>
            </w:r>
          </w:p>
        </w:tc>
      </w:tr>
      <w:tr w:rsidR="00451D4E" w:rsidTr="00785B56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:rsidR="00451D4E" w:rsidRDefault="00785B56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Bakliyat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28,649.5</w:t>
            </w:r>
          </w:p>
        </w:tc>
        <w:tc>
          <w:tcPr>
            <w:tcW w:w="1373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29,768.2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30,887.9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32,030.6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33,177.9</w:t>
            </w:r>
          </w:p>
        </w:tc>
        <w:tc>
          <w:tcPr>
            <w:tcW w:w="1374" w:type="dxa"/>
          </w:tcPr>
          <w:p w:rsidR="00451D4E" w:rsidRDefault="00785B56" w:rsidP="00785B5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785B56">
              <w:rPr>
                <w:rFonts w:ascii="Calibri" w:hAnsi="Calibri" w:cs="Times New Roman"/>
                <w:sz w:val="24"/>
                <w:szCs w:val="24"/>
              </w:rPr>
              <w:t>34,355.5</w:t>
            </w:r>
          </w:p>
        </w:tc>
      </w:tr>
    </w:tbl>
    <w:p w:rsidR="006A76BC" w:rsidRDefault="006A76BC" w:rsidP="006B2E4C">
      <w:pPr>
        <w:spacing w:line="36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6A76BC" w:rsidRDefault="006A76BC" w:rsidP="006B2E4C">
      <w:pPr>
        <w:spacing w:line="360" w:lineRule="auto"/>
        <w:jc w:val="both"/>
        <w:rPr>
          <w:rFonts w:ascii="Calibri" w:hAnsi="Calibri" w:cs="Times New Roman"/>
          <w:sz w:val="16"/>
          <w:szCs w:val="16"/>
        </w:rPr>
      </w:pPr>
    </w:p>
    <w:p w:rsidR="006A76BC" w:rsidRDefault="006A76BC" w:rsidP="006B2E4C">
      <w:pPr>
        <w:spacing w:line="360" w:lineRule="auto"/>
        <w:jc w:val="both"/>
      </w:pPr>
      <w:r w:rsidRPr="006A76BC">
        <w:rPr>
          <w:rFonts w:ascii="Calibri" w:hAnsi="Calibri" w:cs="Times New Roman"/>
          <w:b/>
          <w:sz w:val="24"/>
          <w:szCs w:val="24"/>
        </w:rPr>
        <w:t xml:space="preserve">Tablo 7: </w:t>
      </w:r>
      <w:r w:rsidR="002F3560">
        <w:rPr>
          <w:rFonts w:ascii="Calibri" w:hAnsi="Calibri" w:cs="Times New Roman"/>
          <w:sz w:val="24"/>
          <w:szCs w:val="24"/>
        </w:rPr>
        <w:t>Ürün Bazında</w:t>
      </w:r>
      <w:r>
        <w:rPr>
          <w:rFonts w:ascii="Calibri" w:hAnsi="Calibri" w:cs="Times New Roman"/>
          <w:sz w:val="24"/>
          <w:szCs w:val="24"/>
        </w:rPr>
        <w:t xml:space="preserve"> Tahmini Bakliyat Satışı: % </w:t>
      </w:r>
      <w:r>
        <w:t>Toplam Hacim Büyümesi 2015-2020</w:t>
      </w:r>
    </w:p>
    <w:p w:rsidR="00093889" w:rsidRPr="006A76BC" w:rsidRDefault="006A76BC" w:rsidP="006B2E4C">
      <w:pPr>
        <w:spacing w:line="360" w:lineRule="auto"/>
        <w:jc w:val="both"/>
        <w:rPr>
          <w:rFonts w:ascii="Calibri" w:hAnsi="Calibri" w:cs="Times New Roman"/>
          <w:sz w:val="24"/>
          <w:szCs w:val="24"/>
        </w:rPr>
      </w:pPr>
      <w:r>
        <w:t>% toplam hacim büyümesi</w:t>
      </w:r>
    </w:p>
    <w:tbl>
      <w:tblPr>
        <w:tblStyle w:val="DzTablo11"/>
        <w:tblW w:w="10065" w:type="dxa"/>
        <w:tblInd w:w="-431" w:type="dxa"/>
        <w:tblLook w:val="04A0" w:firstRow="1" w:lastRow="0" w:firstColumn="1" w:lastColumn="0" w:noHBand="0" w:noVBand="1"/>
      </w:tblPr>
      <w:tblGrid>
        <w:gridCol w:w="2696"/>
        <w:gridCol w:w="2265"/>
        <w:gridCol w:w="2266"/>
        <w:gridCol w:w="2838"/>
      </w:tblGrid>
      <w:tr w:rsidR="00093889" w:rsidTr="00093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3889" w:rsidRDefault="0009388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3889" w:rsidRDefault="00093889" w:rsidP="004720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2015/16</w:t>
            </w:r>
          </w:p>
        </w:tc>
        <w:tc>
          <w:tcPr>
            <w:tcW w:w="2266" w:type="dxa"/>
          </w:tcPr>
          <w:p w:rsidR="00093889" w:rsidRDefault="00093889" w:rsidP="004720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2015-20 CAGR</w:t>
            </w:r>
            <w:r>
              <w:rPr>
                <w:rFonts w:ascii="Calibri" w:hAnsi="Calibri" w:cs="Times New Roman"/>
                <w:sz w:val="24"/>
                <w:szCs w:val="24"/>
              </w:rPr>
              <w:t>*</w:t>
            </w:r>
          </w:p>
        </w:tc>
        <w:tc>
          <w:tcPr>
            <w:tcW w:w="2838" w:type="dxa"/>
          </w:tcPr>
          <w:p w:rsidR="00093889" w:rsidRDefault="00093889" w:rsidP="004720E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2015/20 To</w:t>
            </w:r>
            <w:r>
              <w:rPr>
                <w:rFonts w:ascii="Calibri" w:hAnsi="Calibri" w:cs="Times New Roman"/>
                <w:sz w:val="24"/>
                <w:szCs w:val="24"/>
              </w:rPr>
              <w:t>plam</w:t>
            </w:r>
          </w:p>
        </w:tc>
      </w:tr>
      <w:tr w:rsidR="00093889" w:rsidTr="0009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3889" w:rsidRDefault="0009388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Fasulye</w:t>
            </w:r>
          </w:p>
        </w:tc>
        <w:tc>
          <w:tcPr>
            <w:tcW w:w="2265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3.2</w:t>
            </w:r>
          </w:p>
        </w:tc>
        <w:tc>
          <w:tcPr>
            <w:tcW w:w="2266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2.8</w:t>
            </w:r>
          </w:p>
        </w:tc>
        <w:tc>
          <w:tcPr>
            <w:tcW w:w="2838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14.9</w:t>
            </w:r>
          </w:p>
        </w:tc>
      </w:tr>
      <w:tr w:rsidR="00093889" w:rsidTr="0009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3889" w:rsidRDefault="0009388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Bezelye</w:t>
            </w:r>
          </w:p>
        </w:tc>
        <w:tc>
          <w:tcPr>
            <w:tcW w:w="2265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1.0</w:t>
            </w:r>
          </w:p>
        </w:tc>
        <w:tc>
          <w:tcPr>
            <w:tcW w:w="2266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8.5</w:t>
            </w:r>
          </w:p>
        </w:tc>
      </w:tr>
      <w:tr w:rsidR="00093889" w:rsidTr="00093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3889" w:rsidRDefault="0009388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Diğer Bakliyat</w:t>
            </w:r>
          </w:p>
        </w:tc>
        <w:tc>
          <w:tcPr>
            <w:tcW w:w="2265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4.5</w:t>
            </w:r>
          </w:p>
        </w:tc>
        <w:tc>
          <w:tcPr>
            <w:tcW w:w="2266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4.2</w:t>
            </w:r>
          </w:p>
        </w:tc>
        <w:tc>
          <w:tcPr>
            <w:tcW w:w="2838" w:type="dxa"/>
          </w:tcPr>
          <w:p w:rsidR="00093889" w:rsidRDefault="00093889" w:rsidP="004720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22.7</w:t>
            </w:r>
          </w:p>
        </w:tc>
      </w:tr>
      <w:tr w:rsidR="00093889" w:rsidTr="00093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</w:tcPr>
          <w:p w:rsidR="00093889" w:rsidRDefault="00093889" w:rsidP="006B2E4C">
            <w:pPr>
              <w:spacing w:line="360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Bakliyat</w:t>
            </w:r>
          </w:p>
        </w:tc>
        <w:tc>
          <w:tcPr>
            <w:tcW w:w="2265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3.9</w:t>
            </w:r>
          </w:p>
        </w:tc>
        <w:tc>
          <w:tcPr>
            <w:tcW w:w="2266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3.7</w:t>
            </w:r>
          </w:p>
        </w:tc>
        <w:tc>
          <w:tcPr>
            <w:tcW w:w="2838" w:type="dxa"/>
          </w:tcPr>
          <w:p w:rsidR="00093889" w:rsidRDefault="00093889" w:rsidP="004720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93889">
              <w:rPr>
                <w:rFonts w:ascii="Calibri" w:hAnsi="Calibri" w:cs="Times New Roman"/>
                <w:sz w:val="24"/>
                <w:szCs w:val="24"/>
              </w:rPr>
              <w:t>19.9</w:t>
            </w:r>
          </w:p>
        </w:tc>
      </w:tr>
    </w:tbl>
    <w:p w:rsidR="00093889" w:rsidRDefault="00093889" w:rsidP="00093889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CAGR: </w:t>
      </w:r>
      <w:proofErr w:type="spellStart"/>
      <w:r>
        <w:rPr>
          <w:rFonts w:ascii="Calibri" w:hAnsi="Calibri" w:cs="Times New Roman"/>
          <w:sz w:val="16"/>
          <w:szCs w:val="16"/>
        </w:rPr>
        <w:t>Compound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Annual</w:t>
      </w:r>
      <w:proofErr w:type="spellEnd"/>
      <w:r>
        <w:rPr>
          <w:rFonts w:ascii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hAnsi="Calibri" w:cs="Times New Roman"/>
          <w:sz w:val="16"/>
          <w:szCs w:val="16"/>
        </w:rPr>
        <w:t>Growth</w:t>
      </w:r>
      <w:proofErr w:type="spellEnd"/>
      <w:r>
        <w:rPr>
          <w:rFonts w:ascii="Calibri" w:hAnsi="Calibri" w:cs="Times New Roman"/>
          <w:sz w:val="16"/>
          <w:szCs w:val="16"/>
        </w:rPr>
        <w:t xml:space="preserve"> Rate (Yıllık bileşik büyüme oranı)</w:t>
      </w:r>
    </w:p>
    <w:p w:rsidR="00093889" w:rsidRDefault="00093889" w:rsidP="00093889">
      <w:pPr>
        <w:spacing w:line="240" w:lineRule="auto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Kaynak: </w:t>
      </w:r>
      <w:proofErr w:type="spellStart"/>
      <w:r>
        <w:rPr>
          <w:rFonts w:ascii="Calibri" w:hAnsi="Calibri" w:cs="Times New Roman"/>
          <w:sz w:val="16"/>
          <w:szCs w:val="16"/>
        </w:rPr>
        <w:t>Euromonitor</w:t>
      </w:r>
      <w:proofErr w:type="spellEnd"/>
      <w:r>
        <w:rPr>
          <w:rFonts w:ascii="Calibri" w:hAnsi="Calibri" w:cs="Times New Roman"/>
          <w:sz w:val="16"/>
          <w:szCs w:val="16"/>
        </w:rPr>
        <w:t xml:space="preserve"> International</w:t>
      </w:r>
    </w:p>
    <w:p w:rsidR="006A76BC" w:rsidRPr="00093889" w:rsidRDefault="006A76BC" w:rsidP="006B2E4C">
      <w:pPr>
        <w:spacing w:line="360" w:lineRule="auto"/>
        <w:jc w:val="both"/>
        <w:rPr>
          <w:rFonts w:ascii="Calibri" w:hAnsi="Calibri" w:cs="Times New Roman"/>
          <w:b/>
          <w:sz w:val="16"/>
          <w:szCs w:val="16"/>
        </w:rPr>
      </w:pPr>
    </w:p>
    <w:sectPr w:rsidR="006A76BC" w:rsidRPr="00093889" w:rsidSect="000720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62" w:rsidRDefault="00056762" w:rsidP="0007205C">
      <w:pPr>
        <w:spacing w:after="0" w:line="240" w:lineRule="auto"/>
      </w:pPr>
      <w:r>
        <w:separator/>
      </w:r>
    </w:p>
  </w:endnote>
  <w:endnote w:type="continuationSeparator" w:id="0">
    <w:p w:rsidR="00056762" w:rsidRDefault="00056762" w:rsidP="0007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461061"/>
      <w:docPartObj>
        <w:docPartGallery w:val="Page Numbers (Bottom of Page)"/>
        <w:docPartUnique/>
      </w:docPartObj>
    </w:sdtPr>
    <w:sdtEndPr/>
    <w:sdtContent>
      <w:p w:rsidR="0007205C" w:rsidRDefault="0007205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1FD">
          <w:rPr>
            <w:noProof/>
          </w:rPr>
          <w:t>1</w:t>
        </w:r>
        <w:r>
          <w:fldChar w:fldCharType="end"/>
        </w:r>
      </w:p>
    </w:sdtContent>
  </w:sdt>
  <w:p w:rsidR="0007205C" w:rsidRDefault="000720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62" w:rsidRDefault="00056762" w:rsidP="0007205C">
      <w:pPr>
        <w:spacing w:after="0" w:line="240" w:lineRule="auto"/>
      </w:pPr>
      <w:r>
        <w:separator/>
      </w:r>
    </w:p>
  </w:footnote>
  <w:footnote w:type="continuationSeparator" w:id="0">
    <w:p w:rsidR="00056762" w:rsidRDefault="00056762" w:rsidP="00072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99C"/>
    <w:multiLevelType w:val="hybridMultilevel"/>
    <w:tmpl w:val="AACAA0AE"/>
    <w:lvl w:ilvl="0" w:tplc="145C5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1C"/>
    <w:rsid w:val="0000170D"/>
    <w:rsid w:val="00042804"/>
    <w:rsid w:val="00045DB3"/>
    <w:rsid w:val="00056762"/>
    <w:rsid w:val="0007205C"/>
    <w:rsid w:val="00083AC3"/>
    <w:rsid w:val="00093889"/>
    <w:rsid w:val="000A18F8"/>
    <w:rsid w:val="001021FD"/>
    <w:rsid w:val="00130336"/>
    <w:rsid w:val="001B23EF"/>
    <w:rsid w:val="001F198E"/>
    <w:rsid w:val="00251C79"/>
    <w:rsid w:val="002824C4"/>
    <w:rsid w:val="00295C89"/>
    <w:rsid w:val="002E6F63"/>
    <w:rsid w:val="002F3560"/>
    <w:rsid w:val="003862F4"/>
    <w:rsid w:val="004007A8"/>
    <w:rsid w:val="00450F83"/>
    <w:rsid w:val="00451D4E"/>
    <w:rsid w:val="00471A53"/>
    <w:rsid w:val="004720E4"/>
    <w:rsid w:val="004C0172"/>
    <w:rsid w:val="004D2B7E"/>
    <w:rsid w:val="004D41FE"/>
    <w:rsid w:val="006130AE"/>
    <w:rsid w:val="00673283"/>
    <w:rsid w:val="006957E4"/>
    <w:rsid w:val="006A4642"/>
    <w:rsid w:val="006A76BC"/>
    <w:rsid w:val="006B2E4C"/>
    <w:rsid w:val="00707C14"/>
    <w:rsid w:val="0073795A"/>
    <w:rsid w:val="00745FAA"/>
    <w:rsid w:val="007470F7"/>
    <w:rsid w:val="00785B56"/>
    <w:rsid w:val="007F1C58"/>
    <w:rsid w:val="007F6ADB"/>
    <w:rsid w:val="008121E2"/>
    <w:rsid w:val="0081315B"/>
    <w:rsid w:val="008355A9"/>
    <w:rsid w:val="00850701"/>
    <w:rsid w:val="00857993"/>
    <w:rsid w:val="008711C7"/>
    <w:rsid w:val="008A3D2D"/>
    <w:rsid w:val="008B4003"/>
    <w:rsid w:val="008C741A"/>
    <w:rsid w:val="0091004B"/>
    <w:rsid w:val="00912AA1"/>
    <w:rsid w:val="009203FF"/>
    <w:rsid w:val="00931159"/>
    <w:rsid w:val="009567D3"/>
    <w:rsid w:val="009F63E0"/>
    <w:rsid w:val="00A67158"/>
    <w:rsid w:val="00A727C0"/>
    <w:rsid w:val="00A94728"/>
    <w:rsid w:val="00AB3943"/>
    <w:rsid w:val="00B43B3B"/>
    <w:rsid w:val="00B82CF6"/>
    <w:rsid w:val="00B84906"/>
    <w:rsid w:val="00BB3AEA"/>
    <w:rsid w:val="00BF5879"/>
    <w:rsid w:val="00C15A62"/>
    <w:rsid w:val="00C27BDD"/>
    <w:rsid w:val="00C37A75"/>
    <w:rsid w:val="00CC35A3"/>
    <w:rsid w:val="00CC4D8D"/>
    <w:rsid w:val="00D97FBB"/>
    <w:rsid w:val="00DB5FEE"/>
    <w:rsid w:val="00DE6DA1"/>
    <w:rsid w:val="00E037CF"/>
    <w:rsid w:val="00E21C2B"/>
    <w:rsid w:val="00E3681C"/>
    <w:rsid w:val="00E762FB"/>
    <w:rsid w:val="00EB1AF1"/>
    <w:rsid w:val="00ED1135"/>
    <w:rsid w:val="00F347DF"/>
    <w:rsid w:val="00F35A12"/>
    <w:rsid w:val="00F46DE7"/>
    <w:rsid w:val="00F72D71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C79"/>
    <w:pPr>
      <w:ind w:left="720"/>
      <w:contextualSpacing/>
    </w:pPr>
  </w:style>
  <w:style w:type="table" w:styleId="TabloKlavuzu">
    <w:name w:val="Table Grid"/>
    <w:basedOn w:val="NormalTablo"/>
    <w:uiPriority w:val="39"/>
    <w:rsid w:val="00F3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F34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VarsaylanParagrafYazTipi"/>
    <w:rsid w:val="00CC35A3"/>
  </w:style>
  <w:style w:type="character" w:styleId="SatrNumaras">
    <w:name w:val="line number"/>
    <w:basedOn w:val="VarsaylanParagrafYazTipi"/>
    <w:uiPriority w:val="99"/>
    <w:semiHidden/>
    <w:unhideWhenUsed/>
    <w:rsid w:val="0007205C"/>
  </w:style>
  <w:style w:type="paragraph" w:styleId="stbilgi">
    <w:name w:val="header"/>
    <w:basedOn w:val="Normal"/>
    <w:link w:val="stbilgiChar"/>
    <w:uiPriority w:val="99"/>
    <w:unhideWhenUsed/>
    <w:rsid w:val="000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05C"/>
  </w:style>
  <w:style w:type="paragraph" w:styleId="Altbilgi">
    <w:name w:val="footer"/>
    <w:basedOn w:val="Normal"/>
    <w:link w:val="AltbilgiChar"/>
    <w:uiPriority w:val="99"/>
    <w:unhideWhenUsed/>
    <w:rsid w:val="000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C79"/>
    <w:pPr>
      <w:ind w:left="720"/>
      <w:contextualSpacing/>
    </w:pPr>
  </w:style>
  <w:style w:type="table" w:styleId="TabloKlavuzu">
    <w:name w:val="Table Grid"/>
    <w:basedOn w:val="NormalTablo"/>
    <w:uiPriority w:val="39"/>
    <w:rsid w:val="00F3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F347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horttext">
    <w:name w:val="short_text"/>
    <w:basedOn w:val="VarsaylanParagrafYazTipi"/>
    <w:rsid w:val="00CC35A3"/>
  </w:style>
  <w:style w:type="character" w:styleId="SatrNumaras">
    <w:name w:val="line number"/>
    <w:basedOn w:val="VarsaylanParagrafYazTipi"/>
    <w:uiPriority w:val="99"/>
    <w:semiHidden/>
    <w:unhideWhenUsed/>
    <w:rsid w:val="0007205C"/>
  </w:style>
  <w:style w:type="paragraph" w:styleId="stbilgi">
    <w:name w:val="header"/>
    <w:basedOn w:val="Normal"/>
    <w:link w:val="stbilgiChar"/>
    <w:uiPriority w:val="99"/>
    <w:unhideWhenUsed/>
    <w:rsid w:val="000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205C"/>
  </w:style>
  <w:style w:type="paragraph" w:styleId="Altbilgi">
    <w:name w:val="footer"/>
    <w:basedOn w:val="Normal"/>
    <w:link w:val="AltbilgiChar"/>
    <w:uiPriority w:val="99"/>
    <w:unhideWhenUsed/>
    <w:rsid w:val="0007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Dilan Gulkanat</dc:creator>
  <cp:lastModifiedBy>Okan Senel</cp:lastModifiedBy>
  <cp:revision>35</cp:revision>
  <dcterms:created xsi:type="dcterms:W3CDTF">2016-06-03T14:22:00Z</dcterms:created>
  <dcterms:modified xsi:type="dcterms:W3CDTF">2016-06-07T08:21:00Z</dcterms:modified>
</cp:coreProperties>
</file>