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9" w:rsidRPr="000C515F" w:rsidRDefault="00060ACB" w:rsidP="005362B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C515F">
        <w:rPr>
          <w:rFonts w:ascii="Times New Roman" w:hAnsi="Times New Roman" w:cs="Times New Roman"/>
          <w:b/>
          <w:sz w:val="24"/>
          <w:szCs w:val="24"/>
        </w:rPr>
        <w:t>FRANSA</w:t>
      </w:r>
      <w:r w:rsidR="004A0C99" w:rsidRPr="000C515F">
        <w:rPr>
          <w:rFonts w:ascii="Times New Roman" w:hAnsi="Times New Roman" w:cs="Times New Roman"/>
          <w:b/>
          <w:sz w:val="24"/>
          <w:szCs w:val="24"/>
        </w:rPr>
        <w:t xml:space="preserve"> BAKLİYAT SEKTÖRÜ</w:t>
      </w:r>
      <w:r w:rsidRPr="000C515F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:rsidR="00380665" w:rsidRDefault="00380665" w:rsidP="005362B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C515F">
        <w:rPr>
          <w:rFonts w:ascii="Times New Roman" w:hAnsi="Times New Roman" w:cs="Times New Roman"/>
          <w:b/>
          <w:sz w:val="24"/>
          <w:szCs w:val="24"/>
        </w:rPr>
        <w:t>Mart 2016</w:t>
      </w:r>
    </w:p>
    <w:p w:rsidR="000C515F" w:rsidRDefault="000C515F" w:rsidP="004A0C9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515F" w:rsidRPr="005B39DE" w:rsidRDefault="000C515F" w:rsidP="004A0C9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9DE">
        <w:rPr>
          <w:rFonts w:ascii="Times New Roman" w:hAnsi="Times New Roman" w:cs="Times New Roman"/>
          <w:b/>
          <w:sz w:val="24"/>
          <w:szCs w:val="24"/>
          <w:u w:val="single"/>
        </w:rPr>
        <w:t>BAŞLIKLAR</w:t>
      </w:r>
    </w:p>
    <w:p w:rsidR="004A0C99" w:rsidRDefault="004A0C99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A0C99" w:rsidRPr="000C515F" w:rsidRDefault="004A0C99" w:rsidP="004A0C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5F">
        <w:rPr>
          <w:rFonts w:ascii="Times New Roman" w:hAnsi="Times New Roman" w:cs="Times New Roman"/>
          <w:b/>
          <w:sz w:val="24"/>
          <w:szCs w:val="24"/>
        </w:rPr>
        <w:t xml:space="preserve">Bakliyat 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sektörü </w:t>
      </w:r>
      <w:r w:rsidRPr="000C515F">
        <w:rPr>
          <w:rFonts w:ascii="Times New Roman" w:hAnsi="Times New Roman" w:cs="Times New Roman"/>
          <w:b/>
          <w:sz w:val="24"/>
          <w:szCs w:val="24"/>
        </w:rPr>
        <w:t>2015 yılı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 yurt içi </w:t>
      </w:r>
      <w:r w:rsidR="00676159" w:rsidRPr="000C515F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satış hacmi </w:t>
      </w:r>
      <w:r w:rsidR="00060ACB" w:rsidRPr="000C515F">
        <w:rPr>
          <w:rFonts w:ascii="Times New Roman" w:hAnsi="Times New Roman" w:cs="Times New Roman"/>
          <w:b/>
          <w:sz w:val="24"/>
          <w:szCs w:val="24"/>
        </w:rPr>
        <w:t>bir önceki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 yıla oranla </w:t>
      </w:r>
      <w:r w:rsidRPr="000C515F">
        <w:rPr>
          <w:rFonts w:ascii="Times New Roman" w:hAnsi="Times New Roman" w:cs="Times New Roman"/>
          <w:b/>
          <w:sz w:val="24"/>
          <w:szCs w:val="24"/>
        </w:rPr>
        <w:t xml:space="preserve">%2 artış sağlayarak 90.000 </w:t>
      </w:r>
      <w:proofErr w:type="spellStart"/>
      <w:r w:rsidRPr="000C515F">
        <w:rPr>
          <w:rFonts w:ascii="Times New Roman" w:hAnsi="Times New Roman" w:cs="Times New Roman"/>
          <w:b/>
          <w:sz w:val="24"/>
          <w:szCs w:val="24"/>
        </w:rPr>
        <w:t>ton’a</w:t>
      </w:r>
      <w:proofErr w:type="spellEnd"/>
      <w:r w:rsidRPr="000C515F">
        <w:rPr>
          <w:rFonts w:ascii="Times New Roman" w:hAnsi="Times New Roman" w:cs="Times New Roman"/>
          <w:b/>
          <w:sz w:val="24"/>
          <w:szCs w:val="24"/>
        </w:rPr>
        <w:t xml:space="preserve"> ulaştı</w:t>
      </w:r>
      <w:r w:rsidR="00676159" w:rsidRPr="000C515F">
        <w:rPr>
          <w:rFonts w:ascii="Times New Roman" w:hAnsi="Times New Roman" w:cs="Times New Roman"/>
          <w:b/>
          <w:sz w:val="24"/>
          <w:szCs w:val="24"/>
        </w:rPr>
        <w:t>.</w:t>
      </w:r>
    </w:p>
    <w:p w:rsidR="004A0C99" w:rsidRPr="000C515F" w:rsidRDefault="00EB6F53" w:rsidP="004A0C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Sektörde aşırı r</w:t>
      </w:r>
      <w:r w:rsidR="00380665" w:rsidRPr="000C515F">
        <w:rPr>
          <w:rFonts w:ascii="Times New Roman" w:hAnsi="Times New Roman" w:cs="Times New Roman"/>
          <w:b/>
          <w:sz w:val="24"/>
          <w:szCs w:val="24"/>
        </w:rPr>
        <w:t xml:space="preserve">ekabetin yaşanmaması </w:t>
      </w:r>
      <w:r w:rsidR="004A0C99" w:rsidRPr="000C515F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halkın </w:t>
      </w:r>
      <w:r w:rsidR="004A0C99" w:rsidRPr="000C515F">
        <w:rPr>
          <w:rFonts w:ascii="Times New Roman" w:hAnsi="Times New Roman" w:cs="Times New Roman"/>
          <w:b/>
          <w:sz w:val="24"/>
          <w:szCs w:val="24"/>
        </w:rPr>
        <w:t>sağlıklı beslenme alışkanlıkları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 tercihleri</w:t>
      </w:r>
      <w:r w:rsidR="00380665" w:rsidRPr="000C515F">
        <w:rPr>
          <w:rFonts w:ascii="Times New Roman" w:hAnsi="Times New Roman" w:cs="Times New Roman"/>
          <w:b/>
          <w:sz w:val="24"/>
          <w:szCs w:val="24"/>
        </w:rPr>
        <w:t xml:space="preserve"> sektöre olumlu yansı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>dı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80665" w:rsidRPr="000C5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99" w:rsidRPr="000C5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99" w:rsidRPr="000C515F" w:rsidRDefault="004A0C99" w:rsidP="004A0C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5F">
        <w:rPr>
          <w:rFonts w:ascii="Times New Roman" w:hAnsi="Times New Roman" w:cs="Times New Roman"/>
          <w:b/>
          <w:sz w:val="24"/>
          <w:szCs w:val="24"/>
        </w:rPr>
        <w:t xml:space="preserve">2015 yılında 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yurt içi </w:t>
      </w:r>
      <w:r w:rsidR="00676159" w:rsidRPr="000C515F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satış hacmini </w:t>
      </w:r>
      <w:r w:rsidRPr="000C515F">
        <w:rPr>
          <w:rFonts w:ascii="Times New Roman" w:hAnsi="Times New Roman" w:cs="Times New Roman"/>
          <w:b/>
          <w:sz w:val="24"/>
          <w:szCs w:val="24"/>
        </w:rPr>
        <w:t>%3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 oranında artıran Fransız fasulyesi, sektöre büyük ölçüde katkı sağla</w:t>
      </w:r>
      <w:r w:rsidR="00EB6F53">
        <w:rPr>
          <w:rFonts w:ascii="Times New Roman" w:hAnsi="Times New Roman" w:cs="Times New Roman"/>
          <w:b/>
          <w:sz w:val="24"/>
          <w:szCs w:val="24"/>
        </w:rPr>
        <w:t>dı.</w:t>
      </w:r>
      <w:r w:rsidR="00181974" w:rsidRPr="000C5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99" w:rsidRPr="000C515F" w:rsidRDefault="00EB6F53" w:rsidP="004A0C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Fransa’nın 2020 yılı b</w:t>
      </w:r>
      <w:r w:rsidR="004A0C99" w:rsidRPr="000C515F">
        <w:rPr>
          <w:rFonts w:ascii="Times New Roman" w:hAnsi="Times New Roman" w:cs="Times New Roman"/>
          <w:b/>
          <w:sz w:val="24"/>
          <w:szCs w:val="24"/>
        </w:rPr>
        <w:t xml:space="preserve">akliyat </w:t>
      </w:r>
      <w:r>
        <w:rPr>
          <w:rFonts w:ascii="Times New Roman" w:hAnsi="Times New Roman" w:cs="Times New Roman"/>
          <w:b/>
          <w:sz w:val="24"/>
          <w:szCs w:val="24"/>
        </w:rPr>
        <w:t xml:space="preserve">yurt içi satış hacmi </w:t>
      </w:r>
      <w:r w:rsidR="004A0C99" w:rsidRPr="000C515F">
        <w:rPr>
          <w:rFonts w:ascii="Times New Roman" w:hAnsi="Times New Roman" w:cs="Times New Roman"/>
          <w:b/>
          <w:sz w:val="24"/>
          <w:szCs w:val="24"/>
        </w:rPr>
        <w:t xml:space="preserve">hedefi 95.000 ton </w:t>
      </w:r>
      <w:r w:rsidR="0071116A" w:rsidRPr="000C515F">
        <w:rPr>
          <w:rFonts w:ascii="Times New Roman" w:hAnsi="Times New Roman" w:cs="Times New Roman"/>
          <w:b/>
          <w:sz w:val="24"/>
          <w:szCs w:val="24"/>
        </w:rPr>
        <w:t>olup, 2015-2020 döneminde %1’lik yıllık büyüme oranı öngörülmektedir.</w:t>
      </w:r>
    </w:p>
    <w:p w:rsidR="004A0C99" w:rsidRDefault="004A0C99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A0C99" w:rsidRPr="00E9444C" w:rsidRDefault="00EB6F53" w:rsidP="004A0C9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B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EĞERLENDİRMELER </w:t>
      </w:r>
    </w:p>
    <w:p w:rsidR="00862C5E" w:rsidRPr="004A0C99" w:rsidRDefault="00862C5E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>Fransa bakliyat sektörü</w:t>
      </w:r>
      <w:r w:rsidR="00DF58DD">
        <w:rPr>
          <w:rFonts w:ascii="Times New Roman" w:hAnsi="Times New Roman" w:cs="Times New Roman"/>
          <w:sz w:val="24"/>
          <w:szCs w:val="24"/>
        </w:rPr>
        <w:t>nün</w:t>
      </w:r>
      <w:r w:rsidR="0071116A">
        <w:rPr>
          <w:rFonts w:ascii="Times New Roman" w:hAnsi="Times New Roman" w:cs="Times New Roman"/>
          <w:sz w:val="24"/>
          <w:szCs w:val="24"/>
        </w:rPr>
        <w:t xml:space="preserve"> yurt içi </w:t>
      </w:r>
      <w:r w:rsidR="00676159">
        <w:rPr>
          <w:rFonts w:ascii="Times New Roman" w:hAnsi="Times New Roman" w:cs="Times New Roman"/>
          <w:sz w:val="24"/>
          <w:szCs w:val="24"/>
        </w:rPr>
        <w:t xml:space="preserve">toplam </w:t>
      </w:r>
      <w:r w:rsidR="0071116A">
        <w:rPr>
          <w:rFonts w:ascii="Times New Roman" w:hAnsi="Times New Roman" w:cs="Times New Roman"/>
          <w:sz w:val="24"/>
          <w:szCs w:val="24"/>
        </w:rPr>
        <w:t xml:space="preserve">satış hacmi </w:t>
      </w:r>
      <w:r w:rsidR="00E56E60">
        <w:rPr>
          <w:rFonts w:ascii="Times New Roman" w:hAnsi="Times New Roman" w:cs="Times New Roman"/>
          <w:sz w:val="24"/>
          <w:szCs w:val="24"/>
        </w:rPr>
        <w:t xml:space="preserve">göz önünde bulundurulduğunda </w:t>
      </w:r>
      <w:r w:rsidR="00DF58DD">
        <w:rPr>
          <w:rFonts w:ascii="Times New Roman" w:hAnsi="Times New Roman" w:cs="Times New Roman"/>
          <w:sz w:val="24"/>
          <w:szCs w:val="24"/>
        </w:rPr>
        <w:t xml:space="preserve">2015 yılı </w:t>
      </w:r>
      <w:r w:rsidRPr="004A0C99">
        <w:rPr>
          <w:rFonts w:ascii="Times New Roman" w:hAnsi="Times New Roman" w:cs="Times New Roman"/>
          <w:sz w:val="24"/>
          <w:szCs w:val="24"/>
        </w:rPr>
        <w:t>verimli geç</w:t>
      </w:r>
      <w:r w:rsidR="0071116A">
        <w:rPr>
          <w:rFonts w:ascii="Times New Roman" w:hAnsi="Times New Roman" w:cs="Times New Roman"/>
          <w:sz w:val="24"/>
          <w:szCs w:val="24"/>
        </w:rPr>
        <w:t>en yıllardan biriydi.</w:t>
      </w:r>
      <w:r w:rsidRPr="004A0C99">
        <w:rPr>
          <w:rFonts w:ascii="Times New Roman" w:hAnsi="Times New Roman" w:cs="Times New Roman"/>
          <w:sz w:val="24"/>
          <w:szCs w:val="24"/>
        </w:rPr>
        <w:t xml:space="preserve"> Tüketicilerin sağlıklı beslenme alışkanlıklarını tercih etmeleri sektöre olumlu yönde katkı sağladı. Bu yıl, Fransa’daki bakliyat sektörünün konserve gıdalara kıyasla daha az </w:t>
      </w:r>
      <w:r w:rsidR="00DF58DD">
        <w:rPr>
          <w:rFonts w:ascii="Times New Roman" w:hAnsi="Times New Roman" w:cs="Times New Roman"/>
          <w:sz w:val="24"/>
          <w:szCs w:val="24"/>
        </w:rPr>
        <w:t xml:space="preserve">yoğun </w:t>
      </w:r>
      <w:r w:rsidRPr="004A0C99">
        <w:rPr>
          <w:rFonts w:ascii="Times New Roman" w:hAnsi="Times New Roman" w:cs="Times New Roman"/>
          <w:sz w:val="24"/>
          <w:szCs w:val="24"/>
        </w:rPr>
        <w:t>rekabet</w:t>
      </w:r>
      <w:r w:rsidR="00DF58DD">
        <w:rPr>
          <w:rFonts w:ascii="Times New Roman" w:hAnsi="Times New Roman" w:cs="Times New Roman"/>
          <w:sz w:val="24"/>
          <w:szCs w:val="24"/>
        </w:rPr>
        <w:t xml:space="preserve"> yaşaması sektöre </w:t>
      </w:r>
      <w:r w:rsidRPr="004A0C99">
        <w:rPr>
          <w:rFonts w:ascii="Times New Roman" w:hAnsi="Times New Roman" w:cs="Times New Roman"/>
          <w:sz w:val="24"/>
          <w:szCs w:val="24"/>
        </w:rPr>
        <w:t xml:space="preserve">olumlu </w:t>
      </w:r>
      <w:r w:rsidR="00DF58DD">
        <w:rPr>
          <w:rFonts w:ascii="Times New Roman" w:hAnsi="Times New Roman" w:cs="Times New Roman"/>
          <w:sz w:val="24"/>
          <w:szCs w:val="24"/>
        </w:rPr>
        <w:t xml:space="preserve">yansıyan </w:t>
      </w:r>
      <w:r w:rsidRPr="004A0C99">
        <w:rPr>
          <w:rFonts w:ascii="Times New Roman" w:hAnsi="Times New Roman" w:cs="Times New Roman"/>
          <w:sz w:val="24"/>
          <w:szCs w:val="24"/>
        </w:rPr>
        <w:t>gelişmelerden biriydi</w:t>
      </w:r>
      <w:r w:rsidR="00E56E60">
        <w:rPr>
          <w:rFonts w:ascii="Times New Roman" w:hAnsi="Times New Roman" w:cs="Times New Roman"/>
          <w:sz w:val="24"/>
          <w:szCs w:val="24"/>
        </w:rPr>
        <w:t>.</w:t>
      </w:r>
      <w:r w:rsidRPr="004A0C99">
        <w:rPr>
          <w:rFonts w:ascii="Times New Roman" w:hAnsi="Times New Roman" w:cs="Times New Roman"/>
          <w:sz w:val="24"/>
          <w:szCs w:val="24"/>
        </w:rPr>
        <w:t xml:space="preserve"> Ancak, eski tip paketleme yöntemleri ve bu </w:t>
      </w:r>
      <w:r w:rsidR="00676159">
        <w:rPr>
          <w:rFonts w:ascii="Times New Roman" w:hAnsi="Times New Roman" w:cs="Times New Roman"/>
          <w:sz w:val="24"/>
          <w:szCs w:val="24"/>
        </w:rPr>
        <w:t xml:space="preserve">şekilde paketlenen </w:t>
      </w:r>
      <w:r w:rsidRPr="004A0C99">
        <w:rPr>
          <w:rFonts w:ascii="Times New Roman" w:hAnsi="Times New Roman" w:cs="Times New Roman"/>
          <w:sz w:val="24"/>
          <w:szCs w:val="24"/>
        </w:rPr>
        <w:t>ürünlerin sağlık</w:t>
      </w:r>
      <w:r w:rsidR="00676159">
        <w:rPr>
          <w:rFonts w:ascii="Times New Roman" w:hAnsi="Times New Roman" w:cs="Times New Roman"/>
          <w:sz w:val="24"/>
          <w:szCs w:val="24"/>
        </w:rPr>
        <w:t xml:space="preserve">sız olmasına tepkileri nedeniyle Fransa hane halkının </w:t>
      </w:r>
      <w:r w:rsidR="00676159" w:rsidRPr="004A0C99">
        <w:rPr>
          <w:rFonts w:ascii="Times New Roman" w:hAnsi="Times New Roman" w:cs="Times New Roman"/>
          <w:sz w:val="24"/>
          <w:szCs w:val="24"/>
        </w:rPr>
        <w:t>paketl</w:t>
      </w:r>
      <w:r w:rsidR="00676159">
        <w:rPr>
          <w:rFonts w:ascii="Times New Roman" w:hAnsi="Times New Roman" w:cs="Times New Roman"/>
          <w:sz w:val="24"/>
          <w:szCs w:val="24"/>
        </w:rPr>
        <w:t xml:space="preserve">enmiş ve konserve edilmiş bu ürünlere yönelik talebi azalmıştır.  </w:t>
      </w:r>
    </w:p>
    <w:p w:rsidR="00862C5E" w:rsidRPr="004A0C99" w:rsidRDefault="00862C5E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62C5E" w:rsidRPr="004A0C99" w:rsidRDefault="00862C5E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 xml:space="preserve">Fransa’da </w:t>
      </w:r>
      <w:r w:rsidR="00EF2825">
        <w:rPr>
          <w:rFonts w:ascii="Times New Roman" w:hAnsi="Times New Roman" w:cs="Times New Roman"/>
          <w:sz w:val="24"/>
          <w:szCs w:val="24"/>
        </w:rPr>
        <w:t>2015 yılında bakliyat sektörü</w:t>
      </w:r>
      <w:r w:rsidR="00DF58DD">
        <w:rPr>
          <w:rFonts w:ascii="Times New Roman" w:hAnsi="Times New Roman" w:cs="Times New Roman"/>
          <w:sz w:val="24"/>
          <w:szCs w:val="24"/>
        </w:rPr>
        <w:t>,</w:t>
      </w:r>
      <w:r w:rsidR="00EF2825">
        <w:rPr>
          <w:rFonts w:ascii="Times New Roman" w:hAnsi="Times New Roman" w:cs="Times New Roman"/>
          <w:sz w:val="24"/>
          <w:szCs w:val="24"/>
        </w:rPr>
        <w:t xml:space="preserve"> yurt içi topla</w:t>
      </w:r>
      <w:r w:rsidR="00676159">
        <w:rPr>
          <w:rFonts w:ascii="Times New Roman" w:hAnsi="Times New Roman" w:cs="Times New Roman"/>
          <w:sz w:val="24"/>
          <w:szCs w:val="24"/>
        </w:rPr>
        <w:t xml:space="preserve">m satış hacmindeki </w:t>
      </w:r>
      <w:r w:rsidRPr="004A0C99">
        <w:rPr>
          <w:rFonts w:ascii="Times New Roman" w:hAnsi="Times New Roman" w:cs="Times New Roman"/>
          <w:sz w:val="24"/>
          <w:szCs w:val="24"/>
        </w:rPr>
        <w:t>%2 ve perakende satış</w:t>
      </w:r>
      <w:r w:rsidR="00676159">
        <w:rPr>
          <w:rFonts w:ascii="Times New Roman" w:hAnsi="Times New Roman" w:cs="Times New Roman"/>
          <w:sz w:val="24"/>
          <w:szCs w:val="24"/>
        </w:rPr>
        <w:t xml:space="preserve"> hacmindeki </w:t>
      </w:r>
      <w:r w:rsidR="00EF2825">
        <w:rPr>
          <w:rFonts w:ascii="Times New Roman" w:hAnsi="Times New Roman" w:cs="Times New Roman"/>
          <w:sz w:val="24"/>
          <w:szCs w:val="24"/>
        </w:rPr>
        <w:t xml:space="preserve">%3 oranındaki artışla </w:t>
      </w:r>
      <w:r w:rsidRPr="004A0C99">
        <w:rPr>
          <w:rFonts w:ascii="Times New Roman" w:hAnsi="Times New Roman" w:cs="Times New Roman"/>
          <w:sz w:val="24"/>
          <w:szCs w:val="24"/>
        </w:rPr>
        <w:t xml:space="preserve">en dinamik sektörlerin başında geldi. Sağlıklı </w:t>
      </w:r>
      <w:r w:rsidR="00EF2825">
        <w:rPr>
          <w:rFonts w:ascii="Times New Roman" w:hAnsi="Times New Roman" w:cs="Times New Roman"/>
          <w:sz w:val="24"/>
          <w:szCs w:val="24"/>
        </w:rPr>
        <w:t xml:space="preserve">beslenme </w:t>
      </w:r>
      <w:r w:rsidRPr="004A0C99">
        <w:rPr>
          <w:rFonts w:ascii="Times New Roman" w:hAnsi="Times New Roman" w:cs="Times New Roman"/>
          <w:sz w:val="24"/>
          <w:szCs w:val="24"/>
        </w:rPr>
        <w:t xml:space="preserve">alışkanlıkları ve satın alınabilme gücünün fazla olması bakliyat </w:t>
      </w:r>
      <w:r w:rsidR="00DF58DD">
        <w:rPr>
          <w:rFonts w:ascii="Times New Roman" w:hAnsi="Times New Roman" w:cs="Times New Roman"/>
          <w:sz w:val="24"/>
          <w:szCs w:val="24"/>
        </w:rPr>
        <w:t xml:space="preserve">tüketim </w:t>
      </w:r>
      <w:r w:rsidRPr="004A0C99">
        <w:rPr>
          <w:rFonts w:ascii="Times New Roman" w:hAnsi="Times New Roman" w:cs="Times New Roman"/>
          <w:sz w:val="24"/>
          <w:szCs w:val="24"/>
        </w:rPr>
        <w:t xml:space="preserve">talebini de artırdı. </w:t>
      </w:r>
      <w:r w:rsidR="00B43008">
        <w:rPr>
          <w:rFonts w:ascii="Times New Roman" w:hAnsi="Times New Roman" w:cs="Times New Roman"/>
          <w:sz w:val="24"/>
          <w:szCs w:val="24"/>
        </w:rPr>
        <w:t>2010-2015 yılları büyüme oranı açısından göz önüne alındığında</w:t>
      </w:r>
      <w:r w:rsidR="00DF58DD">
        <w:rPr>
          <w:rFonts w:ascii="Times New Roman" w:hAnsi="Times New Roman" w:cs="Times New Roman"/>
          <w:sz w:val="24"/>
          <w:szCs w:val="24"/>
        </w:rPr>
        <w:t>,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Pr="004A0C99">
        <w:rPr>
          <w:rFonts w:ascii="Times New Roman" w:hAnsi="Times New Roman" w:cs="Times New Roman"/>
          <w:sz w:val="24"/>
          <w:szCs w:val="24"/>
        </w:rPr>
        <w:t xml:space="preserve">2015 yılı yıllık büyüme oranı </w:t>
      </w:r>
      <w:r w:rsidR="00EF2825">
        <w:rPr>
          <w:rFonts w:ascii="Times New Roman" w:hAnsi="Times New Roman" w:cs="Times New Roman"/>
          <w:sz w:val="24"/>
          <w:szCs w:val="24"/>
        </w:rPr>
        <w:t xml:space="preserve">açısından </w:t>
      </w:r>
      <w:r w:rsidR="00B43008">
        <w:rPr>
          <w:rFonts w:ascii="Times New Roman" w:hAnsi="Times New Roman" w:cs="Times New Roman"/>
          <w:sz w:val="24"/>
          <w:szCs w:val="24"/>
        </w:rPr>
        <w:t>başarılı bir yıl olarak değerlendirilebilir.</w:t>
      </w:r>
      <w:r w:rsidRPr="004A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5E" w:rsidRPr="004A0C99" w:rsidRDefault="00862C5E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144EF" w:rsidRPr="004A0C99" w:rsidRDefault="009144EF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 xml:space="preserve">Fasulye, </w:t>
      </w:r>
      <w:r w:rsidR="00B43008">
        <w:rPr>
          <w:rFonts w:ascii="Times New Roman" w:hAnsi="Times New Roman" w:cs="Times New Roman"/>
          <w:sz w:val="24"/>
          <w:szCs w:val="24"/>
        </w:rPr>
        <w:t xml:space="preserve">yurt içi toplam satış hacmindeki </w:t>
      </w:r>
      <w:r w:rsidR="00E06B24">
        <w:rPr>
          <w:rFonts w:ascii="Times New Roman" w:hAnsi="Times New Roman" w:cs="Times New Roman"/>
          <w:sz w:val="24"/>
          <w:szCs w:val="24"/>
        </w:rPr>
        <w:t>%3’e varan</w:t>
      </w:r>
      <w:r w:rsidRPr="004A0C99">
        <w:rPr>
          <w:rFonts w:ascii="Times New Roman" w:hAnsi="Times New Roman" w:cs="Times New Roman"/>
          <w:sz w:val="24"/>
          <w:szCs w:val="24"/>
        </w:rPr>
        <w:t xml:space="preserve"> ve perakende satışlar</w:t>
      </w:r>
      <w:r w:rsidR="00B43008">
        <w:rPr>
          <w:rFonts w:ascii="Times New Roman" w:hAnsi="Times New Roman" w:cs="Times New Roman"/>
          <w:sz w:val="24"/>
          <w:szCs w:val="24"/>
        </w:rPr>
        <w:t>ın</w:t>
      </w:r>
      <w:r w:rsidRPr="004A0C99">
        <w:rPr>
          <w:rFonts w:ascii="Times New Roman" w:hAnsi="Times New Roman" w:cs="Times New Roman"/>
          <w:sz w:val="24"/>
          <w:szCs w:val="24"/>
        </w:rPr>
        <w:t>daki % 5</w:t>
      </w:r>
      <w:r w:rsidR="00E06B24">
        <w:rPr>
          <w:rFonts w:ascii="Times New Roman" w:hAnsi="Times New Roman" w:cs="Times New Roman"/>
          <w:sz w:val="24"/>
          <w:szCs w:val="24"/>
        </w:rPr>
        <w:t xml:space="preserve">’e varan </w:t>
      </w:r>
      <w:r w:rsidR="000F5E2C" w:rsidRPr="004A0C99">
        <w:rPr>
          <w:rFonts w:ascii="Times New Roman" w:hAnsi="Times New Roman" w:cs="Times New Roman"/>
          <w:sz w:val="24"/>
          <w:szCs w:val="24"/>
        </w:rPr>
        <w:t>artışıy</w:t>
      </w:r>
      <w:r w:rsidRPr="004A0C99">
        <w:rPr>
          <w:rFonts w:ascii="Times New Roman" w:hAnsi="Times New Roman" w:cs="Times New Roman"/>
          <w:sz w:val="24"/>
          <w:szCs w:val="24"/>
        </w:rPr>
        <w:t xml:space="preserve">la 2015 yılının en dinamik ürünü </w:t>
      </w:r>
      <w:r w:rsidR="00227682">
        <w:rPr>
          <w:rFonts w:ascii="Times New Roman" w:hAnsi="Times New Roman" w:cs="Times New Roman"/>
          <w:sz w:val="24"/>
          <w:szCs w:val="24"/>
        </w:rPr>
        <w:t xml:space="preserve">oldu. </w:t>
      </w:r>
      <w:r w:rsidRPr="004A0C99">
        <w:rPr>
          <w:rFonts w:ascii="Times New Roman" w:hAnsi="Times New Roman" w:cs="Times New Roman"/>
          <w:sz w:val="24"/>
          <w:szCs w:val="24"/>
        </w:rPr>
        <w:t xml:space="preserve">Fransız fasulyeleri, </w:t>
      </w:r>
      <w:proofErr w:type="spellStart"/>
      <w:r w:rsidRPr="004A0C99">
        <w:rPr>
          <w:rFonts w:ascii="Times New Roman" w:hAnsi="Times New Roman" w:cs="Times New Roman"/>
          <w:sz w:val="24"/>
          <w:szCs w:val="24"/>
        </w:rPr>
        <w:t>flageolet</w:t>
      </w:r>
      <w:proofErr w:type="spellEnd"/>
      <w:r w:rsidR="00227682">
        <w:rPr>
          <w:rFonts w:ascii="Times New Roman" w:hAnsi="Times New Roman" w:cs="Times New Roman"/>
          <w:sz w:val="24"/>
          <w:szCs w:val="24"/>
        </w:rPr>
        <w:t xml:space="preserve"> </w:t>
      </w:r>
      <w:r w:rsidRPr="004A0C99">
        <w:rPr>
          <w:rFonts w:ascii="Times New Roman" w:hAnsi="Times New Roman" w:cs="Times New Roman"/>
          <w:sz w:val="24"/>
          <w:szCs w:val="24"/>
        </w:rPr>
        <w:t>cinsi diğer fasulyelerle sektöre hakim</w:t>
      </w:r>
      <w:r w:rsidR="00227682">
        <w:rPr>
          <w:rFonts w:ascii="Times New Roman" w:hAnsi="Times New Roman" w:cs="Times New Roman"/>
          <w:sz w:val="24"/>
          <w:szCs w:val="24"/>
        </w:rPr>
        <w:t xml:space="preserve"> </w:t>
      </w:r>
      <w:r w:rsidRPr="004A0C99">
        <w:rPr>
          <w:rFonts w:ascii="Times New Roman" w:hAnsi="Times New Roman" w:cs="Times New Roman"/>
          <w:sz w:val="24"/>
          <w:szCs w:val="24"/>
        </w:rPr>
        <w:t>görünmektedir. 2014-2015 sezonunda birim fiyatlar</w:t>
      </w:r>
      <w:r w:rsidR="001F6A6D">
        <w:rPr>
          <w:rFonts w:ascii="Times New Roman" w:hAnsi="Times New Roman" w:cs="Times New Roman"/>
          <w:sz w:val="24"/>
          <w:szCs w:val="24"/>
        </w:rPr>
        <w:t xml:space="preserve">ında yaşanan </w:t>
      </w:r>
      <w:r w:rsidRPr="004A0C99">
        <w:rPr>
          <w:rFonts w:ascii="Times New Roman" w:hAnsi="Times New Roman" w:cs="Times New Roman"/>
          <w:sz w:val="24"/>
          <w:szCs w:val="24"/>
        </w:rPr>
        <w:t>istikrar sayesinde, Fransız fasulyeleri</w:t>
      </w:r>
      <w:r w:rsidR="00227682">
        <w:rPr>
          <w:rFonts w:ascii="Times New Roman" w:hAnsi="Times New Roman" w:cs="Times New Roman"/>
          <w:sz w:val="24"/>
          <w:szCs w:val="24"/>
        </w:rPr>
        <w:t xml:space="preserve">ne olan talep ve satın alma sıklığı arttı. </w:t>
      </w:r>
      <w:r w:rsidRPr="004A0C99">
        <w:rPr>
          <w:rFonts w:ascii="Times New Roman" w:hAnsi="Times New Roman" w:cs="Times New Roman"/>
          <w:sz w:val="24"/>
          <w:szCs w:val="24"/>
        </w:rPr>
        <w:t xml:space="preserve">Toplam </w:t>
      </w:r>
      <w:r w:rsidR="00227682">
        <w:rPr>
          <w:rFonts w:ascii="Times New Roman" w:hAnsi="Times New Roman" w:cs="Times New Roman"/>
          <w:sz w:val="24"/>
          <w:szCs w:val="24"/>
        </w:rPr>
        <w:t>yurt içi satış hacminde ve perakende satış</w:t>
      </w:r>
      <w:r w:rsidR="00E07819">
        <w:rPr>
          <w:rFonts w:ascii="Times New Roman" w:hAnsi="Times New Roman" w:cs="Times New Roman"/>
          <w:sz w:val="24"/>
          <w:szCs w:val="24"/>
        </w:rPr>
        <w:t xml:space="preserve"> hacmindeki </w:t>
      </w:r>
      <w:r w:rsidRPr="004A0C99">
        <w:rPr>
          <w:rFonts w:ascii="Times New Roman" w:hAnsi="Times New Roman" w:cs="Times New Roman"/>
          <w:sz w:val="24"/>
          <w:szCs w:val="24"/>
        </w:rPr>
        <w:t>%3’lük artış</w:t>
      </w:r>
      <w:r w:rsidR="00E07819">
        <w:rPr>
          <w:rFonts w:ascii="Times New Roman" w:hAnsi="Times New Roman" w:cs="Times New Roman"/>
          <w:sz w:val="24"/>
          <w:szCs w:val="24"/>
        </w:rPr>
        <w:t xml:space="preserve"> oranları</w:t>
      </w:r>
      <w:r w:rsidR="00227682">
        <w:rPr>
          <w:rFonts w:ascii="Times New Roman" w:hAnsi="Times New Roman" w:cs="Times New Roman"/>
          <w:sz w:val="24"/>
          <w:szCs w:val="24"/>
        </w:rPr>
        <w:t>yla</w:t>
      </w:r>
      <w:r w:rsidR="00E07819">
        <w:rPr>
          <w:rFonts w:ascii="Times New Roman" w:hAnsi="Times New Roman" w:cs="Times New Roman"/>
          <w:sz w:val="24"/>
          <w:szCs w:val="24"/>
        </w:rPr>
        <w:t xml:space="preserve"> </w:t>
      </w:r>
      <w:r w:rsidR="001F6A6D">
        <w:rPr>
          <w:rFonts w:ascii="Times New Roman" w:hAnsi="Times New Roman" w:cs="Times New Roman"/>
          <w:sz w:val="24"/>
          <w:szCs w:val="24"/>
        </w:rPr>
        <w:t xml:space="preserve">fasulye ve bezelye dışındaki </w:t>
      </w:r>
      <w:r w:rsidRPr="004A0C99">
        <w:rPr>
          <w:rFonts w:ascii="Times New Roman" w:hAnsi="Times New Roman" w:cs="Times New Roman"/>
          <w:sz w:val="24"/>
          <w:szCs w:val="24"/>
        </w:rPr>
        <w:t>diğer bakliyat ürünleri de sektöre dinamizm katmıştır.</w:t>
      </w:r>
    </w:p>
    <w:p w:rsidR="00927F56" w:rsidRPr="004A0C99" w:rsidRDefault="00927F56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D1A93" w:rsidRPr="004A0C99" w:rsidRDefault="009144EF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>2015 yılında</w:t>
      </w:r>
      <w:r w:rsidR="00927F56" w:rsidRPr="004A0C99">
        <w:rPr>
          <w:rFonts w:ascii="Times New Roman" w:hAnsi="Times New Roman" w:cs="Times New Roman"/>
          <w:sz w:val="24"/>
          <w:szCs w:val="24"/>
        </w:rPr>
        <w:t xml:space="preserve"> bakliyat ürünlerinin içerisinde düşük performanslı ürün bulmak zor</w:t>
      </w:r>
      <w:r w:rsidR="002C211E">
        <w:rPr>
          <w:rFonts w:ascii="Times New Roman" w:hAnsi="Times New Roman" w:cs="Times New Roman"/>
          <w:sz w:val="24"/>
          <w:szCs w:val="24"/>
        </w:rPr>
        <w:t xml:space="preserve"> ol</w:t>
      </w:r>
      <w:r w:rsidR="00927F56" w:rsidRPr="004A0C99">
        <w:rPr>
          <w:rFonts w:ascii="Times New Roman" w:hAnsi="Times New Roman" w:cs="Times New Roman"/>
          <w:sz w:val="24"/>
          <w:szCs w:val="24"/>
        </w:rPr>
        <w:t xml:space="preserve">du. Hem </w:t>
      </w:r>
      <w:r w:rsidR="00E07819">
        <w:rPr>
          <w:rFonts w:ascii="Times New Roman" w:hAnsi="Times New Roman" w:cs="Times New Roman"/>
          <w:sz w:val="24"/>
          <w:szCs w:val="24"/>
        </w:rPr>
        <w:t xml:space="preserve">yurt içi toplam satış hacmi hem de </w:t>
      </w:r>
      <w:r w:rsidR="000F5E2C" w:rsidRPr="004A0C99">
        <w:rPr>
          <w:rFonts w:ascii="Times New Roman" w:hAnsi="Times New Roman" w:cs="Times New Roman"/>
          <w:sz w:val="24"/>
          <w:szCs w:val="24"/>
        </w:rPr>
        <w:t>perakende satış</w:t>
      </w:r>
      <w:r w:rsidR="00E07819">
        <w:rPr>
          <w:rFonts w:ascii="Times New Roman" w:hAnsi="Times New Roman" w:cs="Times New Roman"/>
          <w:sz w:val="24"/>
          <w:szCs w:val="24"/>
        </w:rPr>
        <w:t xml:space="preserve"> hacmindeki </w:t>
      </w:r>
      <w:r w:rsidR="000F5E2C" w:rsidRPr="004A0C99">
        <w:rPr>
          <w:rFonts w:ascii="Times New Roman" w:hAnsi="Times New Roman" w:cs="Times New Roman"/>
          <w:sz w:val="24"/>
          <w:szCs w:val="24"/>
        </w:rPr>
        <w:t>%2’</w:t>
      </w:r>
      <w:r w:rsidR="00E06B24">
        <w:rPr>
          <w:rFonts w:ascii="Times New Roman" w:hAnsi="Times New Roman" w:cs="Times New Roman"/>
          <w:sz w:val="24"/>
          <w:szCs w:val="24"/>
        </w:rPr>
        <w:t>ye ulaşan</w:t>
      </w:r>
      <w:r w:rsidR="000F5E2C" w:rsidRPr="004A0C99">
        <w:rPr>
          <w:rFonts w:ascii="Times New Roman" w:hAnsi="Times New Roman" w:cs="Times New Roman"/>
          <w:sz w:val="24"/>
          <w:szCs w:val="24"/>
        </w:rPr>
        <w:t xml:space="preserve"> ar</w:t>
      </w:r>
      <w:r w:rsidR="00EA1010">
        <w:rPr>
          <w:rFonts w:ascii="Times New Roman" w:hAnsi="Times New Roman" w:cs="Times New Roman"/>
          <w:sz w:val="24"/>
          <w:szCs w:val="24"/>
        </w:rPr>
        <w:t>tışla, bezelye</w:t>
      </w:r>
      <w:r w:rsidR="000F5E2C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FD1A93" w:rsidRPr="004A0C99">
        <w:rPr>
          <w:rFonts w:ascii="Times New Roman" w:hAnsi="Times New Roman" w:cs="Times New Roman"/>
          <w:sz w:val="24"/>
          <w:szCs w:val="24"/>
        </w:rPr>
        <w:t>2015 yılın</w:t>
      </w:r>
      <w:r w:rsidR="00E06B24">
        <w:rPr>
          <w:rFonts w:ascii="Times New Roman" w:hAnsi="Times New Roman" w:cs="Times New Roman"/>
          <w:sz w:val="24"/>
          <w:szCs w:val="24"/>
        </w:rPr>
        <w:t>da satış hacmi en az oranda artan ürün oldu.</w:t>
      </w:r>
      <w:r w:rsidR="00FD1A93" w:rsidRPr="004A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93" w:rsidRPr="004A0C99" w:rsidRDefault="00FD1A93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66219" w:rsidRPr="004A0C99" w:rsidRDefault="002C211E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Bakliyat sektöründeki p</w:t>
      </w:r>
      <w:r w:rsidR="00FD1A93" w:rsidRPr="004A0C99">
        <w:rPr>
          <w:rFonts w:ascii="Times New Roman" w:hAnsi="Times New Roman" w:cs="Times New Roman"/>
          <w:sz w:val="24"/>
          <w:szCs w:val="24"/>
        </w:rPr>
        <w:t xml:space="preserve">erakende satışlar, 2015 yılında </w:t>
      </w:r>
      <w:r w:rsidR="00844230">
        <w:rPr>
          <w:rFonts w:ascii="Times New Roman" w:hAnsi="Times New Roman" w:cs="Times New Roman"/>
          <w:sz w:val="24"/>
          <w:szCs w:val="24"/>
        </w:rPr>
        <w:t xml:space="preserve">yurt içi </w:t>
      </w:r>
      <w:r w:rsidR="00FD1A93" w:rsidRPr="004A0C99">
        <w:rPr>
          <w:rFonts w:ascii="Times New Roman" w:hAnsi="Times New Roman" w:cs="Times New Roman"/>
          <w:sz w:val="24"/>
          <w:szCs w:val="24"/>
        </w:rPr>
        <w:t xml:space="preserve">toplam </w:t>
      </w:r>
      <w:r w:rsidR="00844230">
        <w:rPr>
          <w:rFonts w:ascii="Times New Roman" w:hAnsi="Times New Roman" w:cs="Times New Roman"/>
          <w:sz w:val="24"/>
          <w:szCs w:val="24"/>
        </w:rPr>
        <w:t xml:space="preserve">satış hacminin </w:t>
      </w:r>
      <w:r w:rsidR="00FD1A93" w:rsidRPr="004A0C99">
        <w:rPr>
          <w:rFonts w:ascii="Times New Roman" w:hAnsi="Times New Roman" w:cs="Times New Roman"/>
          <w:sz w:val="24"/>
          <w:szCs w:val="24"/>
        </w:rPr>
        <w:t>%86’sına ulaştı. Gıd</w:t>
      </w:r>
      <w:r w:rsidR="008E1AFD" w:rsidRPr="004A0C99">
        <w:rPr>
          <w:rFonts w:ascii="Times New Roman" w:hAnsi="Times New Roman" w:cs="Times New Roman"/>
          <w:sz w:val="24"/>
          <w:szCs w:val="24"/>
        </w:rPr>
        <w:t xml:space="preserve">a sektöründe, </w:t>
      </w:r>
      <w:r w:rsidR="00FD1A93" w:rsidRPr="004A0C99">
        <w:rPr>
          <w:rFonts w:ascii="Times New Roman" w:hAnsi="Times New Roman" w:cs="Times New Roman"/>
          <w:sz w:val="24"/>
          <w:szCs w:val="24"/>
        </w:rPr>
        <w:t xml:space="preserve">2014 yılında </w:t>
      </w:r>
      <w:r w:rsidR="00844230">
        <w:rPr>
          <w:rFonts w:ascii="Times New Roman" w:hAnsi="Times New Roman" w:cs="Times New Roman"/>
          <w:sz w:val="24"/>
          <w:szCs w:val="24"/>
        </w:rPr>
        <w:t xml:space="preserve">yapılan </w:t>
      </w:r>
      <w:r w:rsidR="00A724AA" w:rsidRPr="004A0C99">
        <w:rPr>
          <w:rFonts w:ascii="Times New Roman" w:hAnsi="Times New Roman" w:cs="Times New Roman"/>
          <w:sz w:val="24"/>
          <w:szCs w:val="24"/>
        </w:rPr>
        <w:t>yönetmelik değişikliği</w:t>
      </w:r>
      <w:r w:rsidR="00844230">
        <w:rPr>
          <w:rFonts w:ascii="Times New Roman" w:hAnsi="Times New Roman" w:cs="Times New Roman"/>
          <w:sz w:val="24"/>
          <w:szCs w:val="24"/>
        </w:rPr>
        <w:t>yle</w:t>
      </w:r>
      <w:r w:rsidR="00A724AA" w:rsidRPr="004A0C99">
        <w:rPr>
          <w:rFonts w:ascii="Times New Roman" w:hAnsi="Times New Roman" w:cs="Times New Roman"/>
          <w:sz w:val="24"/>
          <w:szCs w:val="24"/>
        </w:rPr>
        <w:t xml:space="preserve">, </w:t>
      </w:r>
      <w:r w:rsidR="00FA5A74">
        <w:rPr>
          <w:rFonts w:ascii="Times New Roman" w:hAnsi="Times New Roman" w:cs="Times New Roman"/>
          <w:sz w:val="24"/>
          <w:szCs w:val="24"/>
        </w:rPr>
        <w:t xml:space="preserve">ev yemeklerinin taze gıda takviyeleriyle hazırlanarak servis edilmesi </w:t>
      </w:r>
      <w:r w:rsidR="00A724AA" w:rsidRPr="004A0C99">
        <w:rPr>
          <w:rFonts w:ascii="Times New Roman" w:hAnsi="Times New Roman" w:cs="Times New Roman"/>
          <w:sz w:val="24"/>
          <w:szCs w:val="24"/>
        </w:rPr>
        <w:t>teşvik edilmeye çalışılmıştır. Bu durum, bakliyat sektörün</w:t>
      </w:r>
      <w:r w:rsidR="00226B8A">
        <w:rPr>
          <w:rFonts w:ascii="Times New Roman" w:hAnsi="Times New Roman" w:cs="Times New Roman"/>
          <w:sz w:val="24"/>
          <w:szCs w:val="24"/>
        </w:rPr>
        <w:t xml:space="preserve">ü olumlu etkilemiştir. </w:t>
      </w:r>
      <w:r w:rsidR="00A724AA" w:rsidRPr="004A0C99">
        <w:rPr>
          <w:rFonts w:ascii="Times New Roman" w:hAnsi="Times New Roman" w:cs="Times New Roman"/>
          <w:sz w:val="24"/>
          <w:szCs w:val="24"/>
        </w:rPr>
        <w:t xml:space="preserve">Ancak, geleneksel </w:t>
      </w:r>
      <w:r w:rsidR="00226B8A">
        <w:rPr>
          <w:rFonts w:ascii="Times New Roman" w:hAnsi="Times New Roman" w:cs="Times New Roman"/>
          <w:sz w:val="24"/>
          <w:szCs w:val="24"/>
        </w:rPr>
        <w:t xml:space="preserve">yapıda </w:t>
      </w:r>
      <w:r w:rsidR="00A724AA" w:rsidRPr="004A0C99">
        <w:rPr>
          <w:rFonts w:ascii="Times New Roman" w:hAnsi="Times New Roman" w:cs="Times New Roman"/>
          <w:sz w:val="24"/>
          <w:szCs w:val="24"/>
        </w:rPr>
        <w:t xml:space="preserve">gıda </w:t>
      </w:r>
      <w:r w:rsidR="00E66219" w:rsidRPr="004A0C99">
        <w:rPr>
          <w:rFonts w:ascii="Times New Roman" w:hAnsi="Times New Roman" w:cs="Times New Roman"/>
          <w:sz w:val="24"/>
          <w:szCs w:val="24"/>
        </w:rPr>
        <w:t>hizmet</w:t>
      </w:r>
      <w:r w:rsidR="00226B8A">
        <w:rPr>
          <w:rFonts w:ascii="Times New Roman" w:hAnsi="Times New Roman" w:cs="Times New Roman"/>
          <w:sz w:val="24"/>
          <w:szCs w:val="24"/>
        </w:rPr>
        <w:t xml:space="preserve">i arzının azlığı nedeniyle arzu edilen </w:t>
      </w:r>
      <w:r w:rsidR="00E66219" w:rsidRPr="004A0C99">
        <w:rPr>
          <w:rFonts w:ascii="Times New Roman" w:hAnsi="Times New Roman" w:cs="Times New Roman"/>
          <w:sz w:val="24"/>
          <w:szCs w:val="24"/>
        </w:rPr>
        <w:t>sonucu vermemiştir.</w:t>
      </w:r>
    </w:p>
    <w:p w:rsidR="00E66219" w:rsidRPr="004A0C99" w:rsidRDefault="00E66219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3D32" w:rsidRPr="004A0C99" w:rsidRDefault="00226B8A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Arzın fazla olması,</w:t>
      </w:r>
      <w:r w:rsidR="00025021" w:rsidRPr="004A0C99">
        <w:rPr>
          <w:rFonts w:ascii="Times New Roman" w:hAnsi="Times New Roman" w:cs="Times New Roman"/>
          <w:sz w:val="24"/>
          <w:szCs w:val="24"/>
        </w:rPr>
        <w:t xml:space="preserve"> bakliyat ürünleri</w:t>
      </w:r>
      <w:r w:rsidR="002C211E">
        <w:rPr>
          <w:rFonts w:ascii="Times New Roman" w:hAnsi="Times New Roman" w:cs="Times New Roman"/>
          <w:sz w:val="24"/>
          <w:szCs w:val="24"/>
        </w:rPr>
        <w:t>nin</w:t>
      </w:r>
      <w:r w:rsidR="00025021" w:rsidRPr="004A0C99">
        <w:rPr>
          <w:rFonts w:ascii="Times New Roman" w:hAnsi="Times New Roman" w:cs="Times New Roman"/>
          <w:sz w:val="24"/>
          <w:szCs w:val="24"/>
        </w:rPr>
        <w:t xml:space="preserve"> paketl</w:t>
      </w:r>
      <w:r w:rsidR="002C211E">
        <w:rPr>
          <w:rFonts w:ascii="Times New Roman" w:hAnsi="Times New Roman" w:cs="Times New Roman"/>
          <w:sz w:val="24"/>
          <w:szCs w:val="24"/>
        </w:rPr>
        <w:t>enerek daha uygun bir fiyata</w:t>
      </w:r>
      <w:r>
        <w:rPr>
          <w:rFonts w:ascii="Times New Roman" w:hAnsi="Times New Roman" w:cs="Times New Roman"/>
          <w:sz w:val="24"/>
          <w:szCs w:val="24"/>
        </w:rPr>
        <w:t xml:space="preserve"> satılmasına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verdi. </w:t>
      </w:r>
      <w:r w:rsidR="00C13D32" w:rsidRPr="004A0C99">
        <w:rPr>
          <w:rFonts w:ascii="Times New Roman" w:hAnsi="Times New Roman" w:cs="Times New Roman"/>
          <w:sz w:val="24"/>
          <w:szCs w:val="24"/>
        </w:rPr>
        <w:t>Çeşitli büyüklükte hazırlanan paketler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13D32" w:rsidRPr="004A0C99">
        <w:rPr>
          <w:rFonts w:ascii="Times New Roman" w:hAnsi="Times New Roman" w:cs="Times New Roman"/>
          <w:sz w:val="24"/>
          <w:szCs w:val="24"/>
        </w:rPr>
        <w:t xml:space="preserve">tüketicilere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13D32" w:rsidRPr="004A0C99">
        <w:rPr>
          <w:rFonts w:ascii="Times New Roman" w:hAnsi="Times New Roman" w:cs="Times New Roman"/>
          <w:sz w:val="24"/>
          <w:szCs w:val="24"/>
        </w:rPr>
        <w:t>geniş kullanım kolaylıkları sunma</w:t>
      </w:r>
      <w:r>
        <w:rPr>
          <w:rFonts w:ascii="Times New Roman" w:hAnsi="Times New Roman" w:cs="Times New Roman"/>
          <w:sz w:val="24"/>
          <w:szCs w:val="24"/>
        </w:rPr>
        <w:t xml:space="preserve">sı </w:t>
      </w:r>
      <w:r w:rsidR="00C13D32" w:rsidRPr="004A0C99">
        <w:rPr>
          <w:rFonts w:ascii="Times New Roman" w:hAnsi="Times New Roman" w:cs="Times New Roman"/>
          <w:sz w:val="24"/>
          <w:szCs w:val="24"/>
        </w:rPr>
        <w:t>bakliyat ürünleri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C13D32" w:rsidRPr="004A0C99">
        <w:rPr>
          <w:rFonts w:ascii="Times New Roman" w:hAnsi="Times New Roman" w:cs="Times New Roman"/>
          <w:sz w:val="24"/>
          <w:szCs w:val="24"/>
        </w:rPr>
        <w:t xml:space="preserve"> % 99 oranında paketlenerek arz edilme</w:t>
      </w:r>
      <w:r>
        <w:rPr>
          <w:rFonts w:ascii="Times New Roman" w:hAnsi="Times New Roman" w:cs="Times New Roman"/>
          <w:sz w:val="24"/>
          <w:szCs w:val="24"/>
        </w:rPr>
        <w:t xml:space="preserve">sini sağladı. </w:t>
      </w:r>
    </w:p>
    <w:p w:rsidR="00C13D32" w:rsidRPr="004A0C99" w:rsidRDefault="00C13D32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3D32" w:rsidRPr="004A0C99" w:rsidRDefault="00C13D32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 xml:space="preserve">Perakende satış kanallarına bağlı olarak, hipermarketler ve süpermarketler </w:t>
      </w:r>
      <w:r w:rsidR="00054942">
        <w:rPr>
          <w:rFonts w:ascii="Times New Roman" w:hAnsi="Times New Roman" w:cs="Times New Roman"/>
          <w:sz w:val="24"/>
          <w:szCs w:val="24"/>
        </w:rPr>
        <w:t xml:space="preserve">genel olarak </w:t>
      </w:r>
      <w:r w:rsidRPr="004A0C99">
        <w:rPr>
          <w:rFonts w:ascii="Times New Roman" w:hAnsi="Times New Roman" w:cs="Times New Roman"/>
          <w:sz w:val="24"/>
          <w:szCs w:val="24"/>
        </w:rPr>
        <w:t>2015 yılında</w:t>
      </w:r>
      <w:r w:rsidR="00226B8A">
        <w:rPr>
          <w:rFonts w:ascii="Times New Roman" w:hAnsi="Times New Roman" w:cs="Times New Roman"/>
          <w:sz w:val="24"/>
          <w:szCs w:val="24"/>
        </w:rPr>
        <w:t xml:space="preserve"> </w:t>
      </w:r>
      <w:r w:rsidRPr="004A0C99">
        <w:rPr>
          <w:rFonts w:ascii="Times New Roman" w:hAnsi="Times New Roman" w:cs="Times New Roman"/>
          <w:sz w:val="24"/>
          <w:szCs w:val="24"/>
        </w:rPr>
        <w:t>üstünlü</w:t>
      </w:r>
      <w:r w:rsidR="00054942">
        <w:rPr>
          <w:rFonts w:ascii="Times New Roman" w:hAnsi="Times New Roman" w:cs="Times New Roman"/>
          <w:sz w:val="24"/>
          <w:szCs w:val="24"/>
        </w:rPr>
        <w:t xml:space="preserve">klerini </w:t>
      </w:r>
      <w:r w:rsidRPr="004A0C99">
        <w:rPr>
          <w:rFonts w:ascii="Times New Roman" w:hAnsi="Times New Roman" w:cs="Times New Roman"/>
          <w:sz w:val="24"/>
          <w:szCs w:val="24"/>
        </w:rPr>
        <w:t>sürdürdü. Ancak, gıda ve içecek sektöründe</w:t>
      </w:r>
      <w:r w:rsidR="00226B8A">
        <w:rPr>
          <w:rFonts w:ascii="Times New Roman" w:hAnsi="Times New Roman" w:cs="Times New Roman"/>
          <w:sz w:val="24"/>
          <w:szCs w:val="24"/>
        </w:rPr>
        <w:t>ki</w:t>
      </w:r>
      <w:r w:rsidRPr="004A0C99">
        <w:rPr>
          <w:rFonts w:ascii="Times New Roman" w:hAnsi="Times New Roman" w:cs="Times New Roman"/>
          <w:sz w:val="24"/>
          <w:szCs w:val="24"/>
        </w:rPr>
        <w:t xml:space="preserve"> üstünlüklerini g</w:t>
      </w:r>
      <w:r w:rsidR="00226B8A">
        <w:rPr>
          <w:rFonts w:ascii="Times New Roman" w:hAnsi="Times New Roman" w:cs="Times New Roman"/>
          <w:sz w:val="24"/>
          <w:szCs w:val="24"/>
        </w:rPr>
        <w:t>eleneksel marketlere devretti.</w:t>
      </w:r>
      <w:r w:rsidRPr="004A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32" w:rsidRPr="004A0C99" w:rsidRDefault="00C13D32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339FB" w:rsidRPr="004A0C99" w:rsidRDefault="00B95EA4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 xml:space="preserve">Bakliyat sektöründeki </w:t>
      </w:r>
      <w:r w:rsidR="009C4455" w:rsidRPr="004A0C99">
        <w:rPr>
          <w:rFonts w:ascii="Times New Roman" w:hAnsi="Times New Roman" w:cs="Times New Roman"/>
          <w:sz w:val="24"/>
          <w:szCs w:val="24"/>
        </w:rPr>
        <w:t>distribütörler</w:t>
      </w:r>
      <w:r w:rsidR="00226B8A">
        <w:rPr>
          <w:rFonts w:ascii="Times New Roman" w:hAnsi="Times New Roman" w:cs="Times New Roman"/>
          <w:sz w:val="24"/>
          <w:szCs w:val="24"/>
        </w:rPr>
        <w:t xml:space="preserve"> aynı zamanda </w:t>
      </w:r>
      <w:r w:rsidRPr="004A0C99">
        <w:rPr>
          <w:rFonts w:ascii="Times New Roman" w:hAnsi="Times New Roman" w:cs="Times New Roman"/>
          <w:sz w:val="24"/>
          <w:szCs w:val="24"/>
        </w:rPr>
        <w:t>sebze sektöründe</w:t>
      </w:r>
      <w:r w:rsidR="00226B8A">
        <w:rPr>
          <w:rFonts w:ascii="Times New Roman" w:hAnsi="Times New Roman" w:cs="Times New Roman"/>
          <w:sz w:val="24"/>
          <w:szCs w:val="24"/>
        </w:rPr>
        <w:t xml:space="preserve"> de distribütörlük yapmaktadır. </w:t>
      </w:r>
      <w:proofErr w:type="spellStart"/>
      <w:r w:rsidRPr="004A0C99">
        <w:rPr>
          <w:rFonts w:ascii="Times New Roman" w:hAnsi="Times New Roman" w:cs="Times New Roman"/>
          <w:sz w:val="24"/>
          <w:szCs w:val="24"/>
        </w:rPr>
        <w:t>Pomona</w:t>
      </w:r>
      <w:proofErr w:type="spellEnd"/>
      <w:r w:rsidRPr="004A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99">
        <w:rPr>
          <w:rFonts w:ascii="Times New Roman" w:hAnsi="Times New Roman" w:cs="Times New Roman"/>
          <w:sz w:val="24"/>
          <w:szCs w:val="24"/>
        </w:rPr>
        <w:t>TerreAzur</w:t>
      </w:r>
      <w:proofErr w:type="spellEnd"/>
      <w:r w:rsidRPr="004A0C99">
        <w:rPr>
          <w:rFonts w:ascii="Times New Roman" w:hAnsi="Times New Roman" w:cs="Times New Roman"/>
          <w:sz w:val="24"/>
          <w:szCs w:val="24"/>
        </w:rPr>
        <w:t xml:space="preserve"> 2015 yılı başlarında yeni </w:t>
      </w:r>
      <w:r w:rsidR="00226B8A">
        <w:rPr>
          <w:rFonts w:ascii="Times New Roman" w:hAnsi="Times New Roman" w:cs="Times New Roman"/>
          <w:sz w:val="24"/>
          <w:szCs w:val="24"/>
        </w:rPr>
        <w:t xml:space="preserve">ve güçlü </w:t>
      </w:r>
      <w:r w:rsidRPr="004A0C99">
        <w:rPr>
          <w:rFonts w:ascii="Times New Roman" w:hAnsi="Times New Roman" w:cs="Times New Roman"/>
          <w:sz w:val="24"/>
          <w:szCs w:val="24"/>
        </w:rPr>
        <w:t xml:space="preserve">bir rakiple </w:t>
      </w:r>
      <w:r w:rsidR="001E79BD" w:rsidRPr="004A0C99">
        <w:rPr>
          <w:rFonts w:ascii="Times New Roman" w:hAnsi="Times New Roman" w:cs="Times New Roman"/>
          <w:sz w:val="24"/>
          <w:szCs w:val="24"/>
        </w:rPr>
        <w:t xml:space="preserve">karşı karşıya </w:t>
      </w:r>
      <w:r w:rsidR="00226B8A">
        <w:rPr>
          <w:rFonts w:ascii="Times New Roman" w:hAnsi="Times New Roman" w:cs="Times New Roman"/>
          <w:sz w:val="24"/>
          <w:szCs w:val="24"/>
        </w:rPr>
        <w:t xml:space="preserve">gelmesine </w:t>
      </w:r>
      <w:r w:rsidR="001E79BD" w:rsidRPr="004A0C99">
        <w:rPr>
          <w:rFonts w:ascii="Times New Roman" w:hAnsi="Times New Roman" w:cs="Times New Roman"/>
          <w:sz w:val="24"/>
          <w:szCs w:val="24"/>
        </w:rPr>
        <w:t xml:space="preserve">rağmen </w:t>
      </w:r>
      <w:r w:rsidR="009C4455" w:rsidRPr="004A0C99">
        <w:rPr>
          <w:rFonts w:ascii="Times New Roman" w:hAnsi="Times New Roman" w:cs="Times New Roman"/>
          <w:sz w:val="24"/>
          <w:szCs w:val="24"/>
        </w:rPr>
        <w:t>distribütör</w:t>
      </w:r>
      <w:r w:rsidR="00F23161">
        <w:rPr>
          <w:rFonts w:ascii="Times New Roman" w:hAnsi="Times New Roman" w:cs="Times New Roman"/>
          <w:sz w:val="24"/>
          <w:szCs w:val="24"/>
        </w:rPr>
        <w:t xml:space="preserve">ler arasındaki </w:t>
      </w:r>
      <w:r w:rsidR="002E1969" w:rsidRPr="004A0C99">
        <w:rPr>
          <w:rFonts w:ascii="Times New Roman" w:hAnsi="Times New Roman" w:cs="Times New Roman"/>
          <w:sz w:val="24"/>
          <w:szCs w:val="24"/>
        </w:rPr>
        <w:t xml:space="preserve">liderliğini sürdürdü. </w:t>
      </w:r>
      <w:proofErr w:type="spellStart"/>
      <w:r w:rsidR="002E1969" w:rsidRPr="004A0C99">
        <w:rPr>
          <w:rFonts w:ascii="Times New Roman" w:hAnsi="Times New Roman" w:cs="Times New Roman"/>
          <w:sz w:val="24"/>
          <w:szCs w:val="24"/>
        </w:rPr>
        <w:t>Vivalya</w:t>
      </w:r>
      <w:proofErr w:type="spellEnd"/>
      <w:r w:rsidR="002E1969" w:rsidRPr="004A0C99">
        <w:rPr>
          <w:rFonts w:ascii="Times New Roman" w:hAnsi="Times New Roman" w:cs="Times New Roman"/>
          <w:sz w:val="24"/>
          <w:szCs w:val="24"/>
        </w:rPr>
        <w:t>,</w:t>
      </w:r>
      <w:r w:rsidR="001E79BD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9C4455" w:rsidRPr="004A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BD" w:rsidRPr="004A0C99">
        <w:rPr>
          <w:rFonts w:ascii="Times New Roman" w:hAnsi="Times New Roman" w:cs="Times New Roman"/>
          <w:sz w:val="24"/>
          <w:szCs w:val="24"/>
        </w:rPr>
        <w:t>Pomona</w:t>
      </w:r>
      <w:proofErr w:type="spellEnd"/>
      <w:r w:rsidR="00F2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161" w:rsidRPr="004A0C99">
        <w:rPr>
          <w:rFonts w:ascii="Times New Roman" w:hAnsi="Times New Roman" w:cs="Times New Roman"/>
          <w:sz w:val="24"/>
          <w:szCs w:val="24"/>
        </w:rPr>
        <w:t>TerreAzur</w:t>
      </w:r>
      <w:r w:rsidR="001E79BD" w:rsidRPr="004A0C99">
        <w:rPr>
          <w:rFonts w:ascii="Times New Roman" w:hAnsi="Times New Roman" w:cs="Times New Roman"/>
          <w:sz w:val="24"/>
          <w:szCs w:val="24"/>
        </w:rPr>
        <w:t>’</w:t>
      </w:r>
      <w:r w:rsidR="00E1378E">
        <w:rPr>
          <w:rFonts w:ascii="Times New Roman" w:hAnsi="Times New Roman" w:cs="Times New Roman"/>
          <w:sz w:val="24"/>
          <w:szCs w:val="24"/>
        </w:rPr>
        <w:t>u</w:t>
      </w:r>
      <w:r w:rsidR="002E1969" w:rsidRPr="004A0C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E1969" w:rsidRPr="004A0C99">
        <w:rPr>
          <w:rFonts w:ascii="Times New Roman" w:hAnsi="Times New Roman" w:cs="Times New Roman"/>
          <w:sz w:val="24"/>
          <w:szCs w:val="24"/>
        </w:rPr>
        <w:t xml:space="preserve"> en büyük</w:t>
      </w:r>
      <w:r w:rsidR="001E79BD" w:rsidRPr="004A0C99">
        <w:rPr>
          <w:rFonts w:ascii="Times New Roman" w:hAnsi="Times New Roman" w:cs="Times New Roman"/>
          <w:sz w:val="24"/>
          <w:szCs w:val="24"/>
        </w:rPr>
        <w:t xml:space="preserve"> rakibi</w:t>
      </w:r>
      <w:r w:rsidR="002E1969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E1378E">
        <w:rPr>
          <w:rFonts w:ascii="Times New Roman" w:hAnsi="Times New Roman" w:cs="Times New Roman"/>
          <w:sz w:val="24"/>
          <w:szCs w:val="24"/>
        </w:rPr>
        <w:t xml:space="preserve">olan </w:t>
      </w:r>
      <w:r w:rsidR="002E1969" w:rsidRPr="004A0C99">
        <w:rPr>
          <w:rFonts w:ascii="Times New Roman" w:hAnsi="Times New Roman" w:cs="Times New Roman"/>
          <w:sz w:val="24"/>
          <w:szCs w:val="24"/>
        </w:rPr>
        <w:t xml:space="preserve">ve </w:t>
      </w:r>
      <w:r w:rsidR="009C4455" w:rsidRPr="004A0C99">
        <w:rPr>
          <w:rFonts w:ascii="Times New Roman" w:hAnsi="Times New Roman" w:cs="Times New Roman"/>
          <w:sz w:val="24"/>
          <w:szCs w:val="24"/>
        </w:rPr>
        <w:t>distribütör</w:t>
      </w:r>
      <w:r w:rsidR="002E1969" w:rsidRPr="004A0C99">
        <w:rPr>
          <w:rFonts w:ascii="Times New Roman" w:hAnsi="Times New Roman" w:cs="Times New Roman"/>
          <w:sz w:val="24"/>
          <w:szCs w:val="24"/>
        </w:rPr>
        <w:t xml:space="preserve"> sektöründe</w:t>
      </w:r>
      <w:r w:rsidR="00E1378E">
        <w:rPr>
          <w:rFonts w:ascii="Times New Roman" w:hAnsi="Times New Roman" w:cs="Times New Roman"/>
          <w:sz w:val="24"/>
          <w:szCs w:val="24"/>
        </w:rPr>
        <w:t>ki</w:t>
      </w:r>
      <w:r w:rsidR="002E1969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153700" w:rsidRPr="004A0C99">
        <w:rPr>
          <w:rFonts w:ascii="Times New Roman" w:hAnsi="Times New Roman" w:cs="Times New Roman"/>
          <w:sz w:val="24"/>
          <w:szCs w:val="24"/>
        </w:rPr>
        <w:t xml:space="preserve">en büyük 3. Şirketi </w:t>
      </w:r>
      <w:proofErr w:type="spellStart"/>
      <w:r w:rsidR="002E1969" w:rsidRPr="004A0C99">
        <w:rPr>
          <w:rFonts w:ascii="Times New Roman" w:hAnsi="Times New Roman" w:cs="Times New Roman"/>
          <w:sz w:val="24"/>
          <w:szCs w:val="24"/>
        </w:rPr>
        <w:t>Creno’nun</w:t>
      </w:r>
      <w:proofErr w:type="spellEnd"/>
      <w:r w:rsidR="002E1969" w:rsidRPr="004A0C99">
        <w:rPr>
          <w:rFonts w:ascii="Times New Roman" w:hAnsi="Times New Roman" w:cs="Times New Roman"/>
          <w:sz w:val="24"/>
          <w:szCs w:val="24"/>
        </w:rPr>
        <w:t xml:space="preserve"> eski üyesi</w:t>
      </w:r>
      <w:r w:rsidR="001E79BD" w:rsidRPr="004A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BD" w:rsidRPr="004A0C99">
        <w:rPr>
          <w:rFonts w:ascii="Times New Roman" w:hAnsi="Times New Roman" w:cs="Times New Roman"/>
          <w:sz w:val="24"/>
          <w:szCs w:val="24"/>
        </w:rPr>
        <w:t>Hexagro</w:t>
      </w:r>
      <w:r w:rsidR="00DD5363" w:rsidRPr="004A0C99">
        <w:rPr>
          <w:rFonts w:ascii="Times New Roman" w:hAnsi="Times New Roman" w:cs="Times New Roman"/>
          <w:sz w:val="24"/>
          <w:szCs w:val="24"/>
        </w:rPr>
        <w:t>’</w:t>
      </w:r>
      <w:r w:rsidR="009C4455" w:rsidRPr="004A0C99">
        <w:rPr>
          <w:rFonts w:ascii="Times New Roman" w:hAnsi="Times New Roman" w:cs="Times New Roman"/>
          <w:sz w:val="24"/>
          <w:szCs w:val="24"/>
        </w:rPr>
        <w:t>yla</w:t>
      </w:r>
      <w:proofErr w:type="spellEnd"/>
      <w:r w:rsidR="009C4455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1E79BD" w:rsidRPr="004A0C99">
        <w:rPr>
          <w:rFonts w:ascii="Times New Roman" w:hAnsi="Times New Roman" w:cs="Times New Roman"/>
          <w:sz w:val="24"/>
          <w:szCs w:val="24"/>
        </w:rPr>
        <w:t xml:space="preserve">birleşme sonucu </w:t>
      </w:r>
      <w:r w:rsidR="002E1969" w:rsidRPr="004A0C99">
        <w:rPr>
          <w:rFonts w:ascii="Times New Roman" w:hAnsi="Times New Roman" w:cs="Times New Roman"/>
          <w:sz w:val="24"/>
          <w:szCs w:val="24"/>
        </w:rPr>
        <w:t xml:space="preserve">2015 yılı başlarında </w:t>
      </w:r>
      <w:r w:rsidR="001E79BD" w:rsidRPr="004A0C99">
        <w:rPr>
          <w:rFonts w:ascii="Times New Roman" w:hAnsi="Times New Roman" w:cs="Times New Roman"/>
          <w:sz w:val="24"/>
          <w:szCs w:val="24"/>
        </w:rPr>
        <w:t>doğdu.</w:t>
      </w:r>
      <w:r w:rsidR="00D05F23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2E1969" w:rsidRPr="004A0C99">
        <w:rPr>
          <w:rFonts w:ascii="Times New Roman" w:hAnsi="Times New Roman" w:cs="Times New Roman"/>
          <w:sz w:val="24"/>
          <w:szCs w:val="24"/>
        </w:rPr>
        <w:t>Yeni oluşum Fransa’da 100 antrepo</w:t>
      </w:r>
      <w:r w:rsidR="00CE3122">
        <w:rPr>
          <w:rFonts w:ascii="Times New Roman" w:hAnsi="Times New Roman" w:cs="Times New Roman"/>
          <w:sz w:val="24"/>
          <w:szCs w:val="24"/>
        </w:rPr>
        <w:t xml:space="preserve"> deposuna sahip olup</w:t>
      </w:r>
      <w:r w:rsidR="00211835" w:rsidRPr="004A0C99">
        <w:rPr>
          <w:rFonts w:ascii="Times New Roman" w:hAnsi="Times New Roman" w:cs="Times New Roman"/>
          <w:sz w:val="24"/>
          <w:szCs w:val="24"/>
        </w:rPr>
        <w:t>, 2015 yılı başlarında 750 milyon €’</w:t>
      </w:r>
      <w:proofErr w:type="spellStart"/>
      <w:r w:rsidR="00211835" w:rsidRPr="004A0C99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="00211835" w:rsidRPr="004A0C99">
        <w:rPr>
          <w:rFonts w:ascii="Times New Roman" w:hAnsi="Times New Roman" w:cs="Times New Roman"/>
          <w:sz w:val="24"/>
          <w:szCs w:val="24"/>
        </w:rPr>
        <w:t xml:space="preserve"> ciro açıklamıştır. Önümüzdeki dönemde</w:t>
      </w:r>
      <w:r w:rsidR="00CE3122">
        <w:rPr>
          <w:rFonts w:ascii="Times New Roman" w:hAnsi="Times New Roman" w:cs="Times New Roman"/>
          <w:sz w:val="24"/>
          <w:szCs w:val="24"/>
        </w:rPr>
        <w:t>,</w:t>
      </w:r>
      <w:r w:rsidR="00211835" w:rsidRPr="004A0C99">
        <w:rPr>
          <w:rFonts w:ascii="Times New Roman" w:hAnsi="Times New Roman" w:cs="Times New Roman"/>
          <w:sz w:val="24"/>
          <w:szCs w:val="24"/>
        </w:rPr>
        <w:t xml:space="preserve"> taze balık ve sebze sektöründe güçlü bir yapı kurmayı amaçlamaktadır.</w:t>
      </w:r>
      <w:r w:rsidR="00C0096B" w:rsidRPr="004A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6B" w:rsidRPr="004A0C99">
        <w:rPr>
          <w:rFonts w:ascii="Times New Roman" w:hAnsi="Times New Roman" w:cs="Times New Roman"/>
          <w:sz w:val="24"/>
          <w:szCs w:val="24"/>
        </w:rPr>
        <w:t>Pomona</w:t>
      </w:r>
      <w:proofErr w:type="spellEnd"/>
      <w:r w:rsidR="00C0096B" w:rsidRPr="004A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6B" w:rsidRPr="004A0C99">
        <w:rPr>
          <w:rFonts w:ascii="Times New Roman" w:hAnsi="Times New Roman" w:cs="Times New Roman"/>
          <w:sz w:val="24"/>
          <w:szCs w:val="24"/>
        </w:rPr>
        <w:t>Terreazu</w:t>
      </w:r>
      <w:r w:rsidR="00863874" w:rsidRPr="004A0C99">
        <w:rPr>
          <w:rFonts w:ascii="Times New Roman" w:hAnsi="Times New Roman" w:cs="Times New Roman"/>
          <w:sz w:val="24"/>
          <w:szCs w:val="24"/>
        </w:rPr>
        <w:t>r</w:t>
      </w:r>
      <w:r w:rsidR="00C0096B" w:rsidRPr="004A0C99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="00863874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CE3122">
        <w:rPr>
          <w:rFonts w:ascii="Times New Roman" w:hAnsi="Times New Roman" w:cs="Times New Roman"/>
          <w:sz w:val="24"/>
          <w:szCs w:val="24"/>
        </w:rPr>
        <w:t xml:space="preserve">ise </w:t>
      </w:r>
      <w:r w:rsidR="00863874" w:rsidRPr="004A0C99">
        <w:rPr>
          <w:rFonts w:ascii="Times New Roman" w:hAnsi="Times New Roman" w:cs="Times New Roman"/>
          <w:sz w:val="24"/>
          <w:szCs w:val="24"/>
        </w:rPr>
        <w:t xml:space="preserve">18 bölgesel </w:t>
      </w:r>
      <w:r w:rsidR="00CE3122">
        <w:rPr>
          <w:rFonts w:ascii="Times New Roman" w:hAnsi="Times New Roman" w:cs="Times New Roman"/>
          <w:sz w:val="24"/>
          <w:szCs w:val="24"/>
        </w:rPr>
        <w:t xml:space="preserve">şube </w:t>
      </w:r>
      <w:r w:rsidR="00B339FB" w:rsidRPr="004A0C99">
        <w:rPr>
          <w:rFonts w:ascii="Times New Roman" w:hAnsi="Times New Roman" w:cs="Times New Roman"/>
          <w:sz w:val="24"/>
          <w:szCs w:val="24"/>
        </w:rPr>
        <w:t>ağ</w:t>
      </w:r>
      <w:r w:rsidR="00CE3122">
        <w:rPr>
          <w:rFonts w:ascii="Times New Roman" w:hAnsi="Times New Roman" w:cs="Times New Roman"/>
          <w:sz w:val="24"/>
          <w:szCs w:val="24"/>
        </w:rPr>
        <w:t>ına</w:t>
      </w:r>
      <w:r w:rsidR="00B339FB" w:rsidRPr="004A0C99">
        <w:rPr>
          <w:rFonts w:ascii="Times New Roman" w:hAnsi="Times New Roman" w:cs="Times New Roman"/>
          <w:sz w:val="24"/>
          <w:szCs w:val="24"/>
        </w:rPr>
        <w:t xml:space="preserve"> sahip olmakla birlikte</w:t>
      </w:r>
      <w:r w:rsidR="00054942">
        <w:rPr>
          <w:rFonts w:ascii="Times New Roman" w:hAnsi="Times New Roman" w:cs="Times New Roman"/>
          <w:sz w:val="24"/>
          <w:szCs w:val="24"/>
        </w:rPr>
        <w:t>,</w:t>
      </w:r>
      <w:r w:rsidR="00B339FB" w:rsidRPr="004A0C99">
        <w:rPr>
          <w:rFonts w:ascii="Times New Roman" w:hAnsi="Times New Roman" w:cs="Times New Roman"/>
          <w:sz w:val="24"/>
          <w:szCs w:val="24"/>
        </w:rPr>
        <w:t xml:space="preserve"> meyve, sebze, t</w:t>
      </w:r>
      <w:r w:rsidR="00CE3122">
        <w:rPr>
          <w:rFonts w:ascii="Times New Roman" w:hAnsi="Times New Roman" w:cs="Times New Roman"/>
          <w:sz w:val="24"/>
          <w:szCs w:val="24"/>
        </w:rPr>
        <w:t xml:space="preserve">aze balık ve deniz ürünlerinden </w:t>
      </w:r>
      <w:r w:rsidR="00B339FB" w:rsidRPr="004A0C99">
        <w:rPr>
          <w:rFonts w:ascii="Times New Roman" w:hAnsi="Times New Roman" w:cs="Times New Roman"/>
          <w:sz w:val="24"/>
          <w:szCs w:val="24"/>
        </w:rPr>
        <w:t>toplam</w:t>
      </w:r>
      <w:r w:rsidR="00CE3122">
        <w:rPr>
          <w:rFonts w:ascii="Times New Roman" w:hAnsi="Times New Roman" w:cs="Times New Roman"/>
          <w:sz w:val="24"/>
          <w:szCs w:val="24"/>
        </w:rPr>
        <w:t xml:space="preserve"> cirosunu 900 milyon € olarak açıklamıştır. </w:t>
      </w:r>
    </w:p>
    <w:p w:rsidR="00B339FB" w:rsidRPr="004A0C99" w:rsidRDefault="00B339FB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D5363" w:rsidRPr="004A0C99" w:rsidRDefault="00CE3122" w:rsidP="004A0C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Organik </w:t>
      </w:r>
      <w:r w:rsidR="005F4C29">
        <w:rPr>
          <w:rFonts w:ascii="Times New Roman" w:hAnsi="Times New Roman" w:cs="Times New Roman"/>
          <w:sz w:val="24"/>
          <w:szCs w:val="24"/>
        </w:rPr>
        <w:t xml:space="preserve">bakliyatın yurt içi toplam satış hacmi </w:t>
      </w:r>
      <w:r w:rsidR="00D101B2">
        <w:rPr>
          <w:rFonts w:ascii="Times New Roman" w:hAnsi="Times New Roman" w:cs="Times New Roman"/>
          <w:sz w:val="24"/>
          <w:szCs w:val="24"/>
        </w:rPr>
        <w:t xml:space="preserve">mercimeğin </w:t>
      </w:r>
      <w:r w:rsidR="00054942">
        <w:rPr>
          <w:rFonts w:ascii="Times New Roman" w:hAnsi="Times New Roman" w:cs="Times New Roman"/>
          <w:sz w:val="24"/>
          <w:szCs w:val="24"/>
        </w:rPr>
        <w:t xml:space="preserve">olumlu </w:t>
      </w:r>
      <w:r w:rsidR="00D101B2">
        <w:rPr>
          <w:rFonts w:ascii="Times New Roman" w:hAnsi="Times New Roman" w:cs="Times New Roman"/>
          <w:sz w:val="24"/>
          <w:szCs w:val="24"/>
        </w:rPr>
        <w:t>katkısıyla</w:t>
      </w:r>
      <w:r w:rsidR="005F4C29">
        <w:rPr>
          <w:rFonts w:ascii="Times New Roman" w:hAnsi="Times New Roman" w:cs="Times New Roman"/>
          <w:sz w:val="24"/>
          <w:szCs w:val="24"/>
        </w:rPr>
        <w:t xml:space="preserve"> %8 oranında seyretmiştir. Gıda üretim şekillerini</w:t>
      </w:r>
      <w:r w:rsidR="00D101B2">
        <w:rPr>
          <w:rFonts w:ascii="Times New Roman" w:hAnsi="Times New Roman" w:cs="Times New Roman"/>
          <w:sz w:val="24"/>
          <w:szCs w:val="24"/>
        </w:rPr>
        <w:t xml:space="preserve">n çevreye olan etkisine duyarlılıkları artan tüketicilerin </w:t>
      </w:r>
      <w:r w:rsidR="00D05F23" w:rsidRPr="004A0C99">
        <w:rPr>
          <w:rFonts w:ascii="Times New Roman" w:hAnsi="Times New Roman" w:cs="Times New Roman"/>
          <w:sz w:val="24"/>
          <w:szCs w:val="24"/>
        </w:rPr>
        <w:t>organik bakliyat</w:t>
      </w:r>
      <w:r w:rsidR="00D101B2">
        <w:rPr>
          <w:rFonts w:ascii="Times New Roman" w:hAnsi="Times New Roman" w:cs="Times New Roman"/>
          <w:sz w:val="24"/>
          <w:szCs w:val="24"/>
        </w:rPr>
        <w:t xml:space="preserve"> ürünlerine </w:t>
      </w:r>
      <w:r w:rsidR="00D05F23" w:rsidRPr="004A0C99">
        <w:rPr>
          <w:rFonts w:ascii="Times New Roman" w:hAnsi="Times New Roman" w:cs="Times New Roman"/>
          <w:sz w:val="24"/>
          <w:szCs w:val="24"/>
        </w:rPr>
        <w:t xml:space="preserve">ilgisi arttı. </w:t>
      </w:r>
      <w:r w:rsidR="00DD5363" w:rsidRPr="004A0C99">
        <w:rPr>
          <w:rFonts w:ascii="Times New Roman" w:hAnsi="Times New Roman" w:cs="Times New Roman"/>
          <w:sz w:val="24"/>
          <w:szCs w:val="24"/>
        </w:rPr>
        <w:t>Bakliyat tohum</w:t>
      </w:r>
      <w:r w:rsidR="00272E2E">
        <w:rPr>
          <w:rFonts w:ascii="Times New Roman" w:hAnsi="Times New Roman" w:cs="Times New Roman"/>
          <w:sz w:val="24"/>
          <w:szCs w:val="24"/>
        </w:rPr>
        <w:t xml:space="preserve">ları </w:t>
      </w:r>
      <w:r w:rsidR="00054942">
        <w:rPr>
          <w:rFonts w:ascii="Times New Roman" w:hAnsi="Times New Roman" w:cs="Times New Roman"/>
          <w:sz w:val="24"/>
          <w:szCs w:val="24"/>
        </w:rPr>
        <w:t xml:space="preserve">satış hacmi </w:t>
      </w:r>
      <w:r w:rsidR="00272E2E">
        <w:rPr>
          <w:rFonts w:ascii="Times New Roman" w:hAnsi="Times New Roman" w:cs="Times New Roman"/>
          <w:sz w:val="24"/>
          <w:szCs w:val="24"/>
        </w:rPr>
        <w:t>2015 yılında büyüme göstermiş olsa da,</w:t>
      </w:r>
      <w:r w:rsidR="00D05F23"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DD5363" w:rsidRPr="004A0C99">
        <w:rPr>
          <w:rFonts w:ascii="Times New Roman" w:hAnsi="Times New Roman" w:cs="Times New Roman"/>
          <w:sz w:val="24"/>
          <w:szCs w:val="24"/>
        </w:rPr>
        <w:t>fiyatların</w:t>
      </w:r>
      <w:r w:rsidR="00272E2E">
        <w:rPr>
          <w:rFonts w:ascii="Times New Roman" w:hAnsi="Times New Roman" w:cs="Times New Roman"/>
          <w:sz w:val="24"/>
          <w:szCs w:val="24"/>
        </w:rPr>
        <w:t>ın</w:t>
      </w:r>
      <w:r w:rsidR="00DD5363" w:rsidRPr="004A0C99">
        <w:rPr>
          <w:rFonts w:ascii="Times New Roman" w:hAnsi="Times New Roman" w:cs="Times New Roman"/>
          <w:sz w:val="24"/>
          <w:szCs w:val="24"/>
        </w:rPr>
        <w:t xml:space="preserve"> yüksek olmasına bağlı olarak </w:t>
      </w:r>
      <w:r w:rsidR="00054942">
        <w:rPr>
          <w:rFonts w:ascii="Times New Roman" w:hAnsi="Times New Roman" w:cs="Times New Roman"/>
          <w:sz w:val="24"/>
          <w:szCs w:val="24"/>
        </w:rPr>
        <w:t xml:space="preserve">2010-2015 döneminde </w:t>
      </w:r>
      <w:r w:rsidR="00D05F23" w:rsidRPr="004A0C99">
        <w:rPr>
          <w:rFonts w:ascii="Times New Roman" w:hAnsi="Times New Roman" w:cs="Times New Roman"/>
          <w:sz w:val="24"/>
          <w:szCs w:val="24"/>
        </w:rPr>
        <w:t xml:space="preserve">%1’lik oranı geçememiştir. </w:t>
      </w:r>
      <w:r w:rsidR="00B339FB" w:rsidRPr="004A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63" w:rsidRPr="004A0C99" w:rsidRDefault="00DD5363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53700" w:rsidRPr="004A0C99" w:rsidRDefault="00153700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53700" w:rsidRPr="004A0C99" w:rsidRDefault="008E1AFD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 xml:space="preserve">  </w:t>
      </w:r>
      <w:r w:rsidR="00FD1A93" w:rsidRPr="004A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0" w:rsidRPr="004A0C99" w:rsidRDefault="009144EF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3700" w:rsidRPr="004A0C99" w:rsidRDefault="00153700" w:rsidP="004A0C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A0C99">
        <w:rPr>
          <w:rFonts w:ascii="Times New Roman" w:hAnsi="Times New Roman" w:cs="Times New Roman"/>
          <w:sz w:val="24"/>
          <w:szCs w:val="24"/>
        </w:rPr>
        <w:t xml:space="preserve">FRANSA’DAKİ 2015 YILI EN BÜYÜK BAKLİYAT DİSTRİBÜTÖRLERİ </w:t>
      </w:r>
    </w:p>
    <w:tbl>
      <w:tblPr>
        <w:tblW w:w="5000" w:type="pct"/>
        <w:tblCellSpacing w:w="0" w:type="dxa"/>
        <w:tblInd w:w="15" w:type="dxa"/>
        <w:tblBorders>
          <w:bottom w:val="single" w:sz="8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1964"/>
        <w:gridCol w:w="1505"/>
      </w:tblGrid>
      <w:tr w:rsidR="00153700" w:rsidRPr="004A0C99" w:rsidTr="00CB63F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Firma İsmi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Ürün Çeşidi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Sıralama</w:t>
            </w:r>
          </w:p>
        </w:tc>
      </w:tr>
      <w:tr w:rsidR="00153700" w:rsidRPr="004A0C99" w:rsidTr="00CB63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3700" w:rsidRPr="004A0C99" w:rsidTr="00CB63F7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Pomona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Terre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d’Azur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Pulses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</w:p>
        </w:tc>
      </w:tr>
      <w:tr w:rsidR="00153700" w:rsidRPr="004A0C99" w:rsidTr="00CB63F7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Vivalya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formerly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known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Hexagro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) 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Pulses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</w:t>
            </w:r>
          </w:p>
        </w:tc>
      </w:tr>
      <w:tr w:rsidR="00153700" w:rsidRPr="004A0C99" w:rsidTr="00CB63F7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Creno</w:t>
            </w:r>
            <w:proofErr w:type="spellEnd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Pulses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700" w:rsidRPr="00153700" w:rsidRDefault="00153700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53700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3</w:t>
            </w:r>
          </w:p>
        </w:tc>
      </w:tr>
    </w:tbl>
    <w:p w:rsidR="00153700" w:rsidRPr="00DA7021" w:rsidRDefault="00153700" w:rsidP="004A0C99">
      <w:pPr>
        <w:spacing w:after="0"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Source: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Euromonitor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International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from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company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reports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company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research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press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sources</w:t>
      </w:r>
      <w:proofErr w:type="spellEnd"/>
    </w:p>
    <w:p w:rsidR="005A35D0" w:rsidRDefault="005A35D0" w:rsidP="004A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09B" w:rsidRDefault="00B9009B" w:rsidP="004A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09B" w:rsidRDefault="00B9009B" w:rsidP="004A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09B" w:rsidRDefault="00B9009B" w:rsidP="004A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09B" w:rsidRDefault="00B9009B" w:rsidP="004A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09B" w:rsidRDefault="00B9009B" w:rsidP="004A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021" w:rsidRDefault="00DA7021" w:rsidP="004A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00" w:rsidRPr="00E9444C" w:rsidRDefault="00153700" w:rsidP="0005494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44C">
        <w:rPr>
          <w:rFonts w:ascii="Times New Roman" w:hAnsi="Times New Roman" w:cs="Times New Roman"/>
          <w:b/>
          <w:sz w:val="24"/>
          <w:szCs w:val="24"/>
          <w:u w:val="single"/>
        </w:rPr>
        <w:t>BEKLENTİ</w:t>
      </w:r>
      <w:r w:rsidR="00394825" w:rsidRPr="00E9444C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</w:p>
    <w:p w:rsidR="005B5D6E" w:rsidRDefault="00394825" w:rsidP="000549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42">
        <w:rPr>
          <w:rFonts w:ascii="Times New Roman" w:hAnsi="Times New Roman" w:cs="Times New Roman"/>
          <w:sz w:val="24"/>
          <w:szCs w:val="24"/>
        </w:rPr>
        <w:t>Ba</w:t>
      </w:r>
      <w:r w:rsidR="0026065B" w:rsidRPr="00054942">
        <w:rPr>
          <w:rFonts w:ascii="Times New Roman" w:hAnsi="Times New Roman" w:cs="Times New Roman"/>
          <w:sz w:val="24"/>
          <w:szCs w:val="24"/>
        </w:rPr>
        <w:t>kliyat sektöründek</w:t>
      </w:r>
      <w:r w:rsidR="009C2A38" w:rsidRPr="00054942">
        <w:rPr>
          <w:rFonts w:ascii="Times New Roman" w:hAnsi="Times New Roman" w:cs="Times New Roman"/>
          <w:sz w:val="24"/>
          <w:szCs w:val="24"/>
        </w:rPr>
        <w:t>i beklentiler</w:t>
      </w:r>
      <w:r w:rsidR="005B39DE">
        <w:rPr>
          <w:rFonts w:ascii="Times New Roman" w:hAnsi="Times New Roman" w:cs="Times New Roman"/>
          <w:sz w:val="24"/>
          <w:szCs w:val="24"/>
        </w:rPr>
        <w:t>i belirlemek üzere</w:t>
      </w:r>
      <w:r w:rsidR="009C2A38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Pr="00054942">
        <w:rPr>
          <w:rFonts w:ascii="Times New Roman" w:hAnsi="Times New Roman" w:cs="Times New Roman"/>
          <w:sz w:val="24"/>
          <w:szCs w:val="24"/>
        </w:rPr>
        <w:t>uzun raf ömrüne sahip konserve edilmiş ve paketlenmiş bakliyat</w:t>
      </w:r>
      <w:r w:rsidR="0026065B" w:rsidRPr="00054942">
        <w:rPr>
          <w:rFonts w:ascii="Times New Roman" w:hAnsi="Times New Roman" w:cs="Times New Roman"/>
          <w:sz w:val="24"/>
          <w:szCs w:val="24"/>
        </w:rPr>
        <w:t xml:space="preserve"> ürünlerindeki </w:t>
      </w:r>
      <w:r w:rsidRPr="00054942">
        <w:rPr>
          <w:rFonts w:ascii="Times New Roman" w:hAnsi="Times New Roman" w:cs="Times New Roman"/>
          <w:sz w:val="24"/>
          <w:szCs w:val="24"/>
        </w:rPr>
        <w:t>yaşanan zorluklar</w:t>
      </w:r>
      <w:r w:rsidR="0026065B" w:rsidRPr="00054942">
        <w:rPr>
          <w:rFonts w:ascii="Times New Roman" w:hAnsi="Times New Roman" w:cs="Times New Roman"/>
          <w:sz w:val="24"/>
          <w:szCs w:val="24"/>
        </w:rPr>
        <w:t xml:space="preserve">a odaklanılacaktır. </w:t>
      </w:r>
      <w:r w:rsidR="009C2A38" w:rsidRPr="00054942">
        <w:rPr>
          <w:rFonts w:ascii="Times New Roman" w:hAnsi="Times New Roman" w:cs="Times New Roman"/>
          <w:sz w:val="24"/>
          <w:szCs w:val="24"/>
        </w:rPr>
        <w:t>U</w:t>
      </w:r>
      <w:r w:rsidRPr="00054942">
        <w:rPr>
          <w:rFonts w:ascii="Times New Roman" w:hAnsi="Times New Roman" w:cs="Times New Roman"/>
          <w:sz w:val="24"/>
          <w:szCs w:val="24"/>
        </w:rPr>
        <w:t>zun raf ömrüne s</w:t>
      </w:r>
      <w:r w:rsidR="00E9215F" w:rsidRPr="00054942">
        <w:rPr>
          <w:rFonts w:ascii="Times New Roman" w:hAnsi="Times New Roman" w:cs="Times New Roman"/>
          <w:sz w:val="24"/>
          <w:szCs w:val="24"/>
        </w:rPr>
        <w:t>ahip bakliya</w:t>
      </w:r>
      <w:r w:rsidR="00043AFB" w:rsidRPr="00054942">
        <w:rPr>
          <w:rFonts w:ascii="Times New Roman" w:hAnsi="Times New Roman" w:cs="Times New Roman"/>
          <w:sz w:val="24"/>
          <w:szCs w:val="24"/>
        </w:rPr>
        <w:t xml:space="preserve">tı etkileyen temel husus </w:t>
      </w:r>
      <w:proofErr w:type="spellStart"/>
      <w:r w:rsidR="00043AFB" w:rsidRPr="00054942">
        <w:rPr>
          <w:rFonts w:ascii="Times New Roman" w:hAnsi="Times New Roman" w:cs="Times New Roman"/>
          <w:sz w:val="24"/>
          <w:szCs w:val="24"/>
        </w:rPr>
        <w:t>Bisphenol’un</w:t>
      </w:r>
      <w:proofErr w:type="spellEnd"/>
      <w:r w:rsidR="00043AFB" w:rsidRPr="00054942">
        <w:rPr>
          <w:rFonts w:ascii="Times New Roman" w:hAnsi="Times New Roman" w:cs="Times New Roman"/>
          <w:sz w:val="24"/>
          <w:szCs w:val="24"/>
        </w:rPr>
        <w:t xml:space="preserve"> 2015 yılında resmi olarak yasaklanmasıdır. </w:t>
      </w:r>
      <w:proofErr w:type="spellStart"/>
      <w:r w:rsidR="009F6532" w:rsidRPr="00054942">
        <w:rPr>
          <w:rFonts w:ascii="Times New Roman" w:hAnsi="Times New Roman" w:cs="Times New Roman"/>
          <w:sz w:val="24"/>
          <w:szCs w:val="24"/>
        </w:rPr>
        <w:t>B</w:t>
      </w:r>
      <w:r w:rsidR="009C2A38" w:rsidRPr="00054942">
        <w:rPr>
          <w:rFonts w:ascii="Times New Roman" w:hAnsi="Times New Roman" w:cs="Times New Roman"/>
          <w:sz w:val="24"/>
          <w:szCs w:val="24"/>
        </w:rPr>
        <w:t>ispherol</w:t>
      </w:r>
      <w:proofErr w:type="spellEnd"/>
      <w:r w:rsidR="009C2A38" w:rsidRPr="00054942">
        <w:rPr>
          <w:rFonts w:ascii="Times New Roman" w:hAnsi="Times New Roman" w:cs="Times New Roman"/>
          <w:sz w:val="24"/>
          <w:szCs w:val="24"/>
        </w:rPr>
        <w:t xml:space="preserve">, </w:t>
      </w:r>
      <w:r w:rsidR="009F6532" w:rsidRPr="00054942">
        <w:rPr>
          <w:rFonts w:ascii="Times New Roman" w:hAnsi="Times New Roman" w:cs="Times New Roman"/>
          <w:sz w:val="24"/>
          <w:szCs w:val="24"/>
        </w:rPr>
        <w:t>plastik ürünler</w:t>
      </w:r>
      <w:r w:rsidR="009C2A38" w:rsidRPr="00054942">
        <w:rPr>
          <w:rFonts w:ascii="Times New Roman" w:hAnsi="Times New Roman" w:cs="Times New Roman"/>
          <w:sz w:val="24"/>
          <w:szCs w:val="24"/>
        </w:rPr>
        <w:t>in</w:t>
      </w:r>
      <w:r w:rsidR="009F6532" w:rsidRPr="00054942">
        <w:rPr>
          <w:rFonts w:ascii="Times New Roman" w:hAnsi="Times New Roman" w:cs="Times New Roman"/>
          <w:sz w:val="24"/>
          <w:szCs w:val="24"/>
        </w:rPr>
        <w:t>de bulun</w:t>
      </w:r>
      <w:r w:rsidR="009C2A38" w:rsidRPr="00054942">
        <w:rPr>
          <w:rFonts w:ascii="Times New Roman" w:hAnsi="Times New Roman" w:cs="Times New Roman"/>
          <w:sz w:val="24"/>
          <w:szCs w:val="24"/>
        </w:rPr>
        <w:t>an bir molekül</w:t>
      </w:r>
      <w:r w:rsidR="0007709A" w:rsidRPr="00054942">
        <w:rPr>
          <w:rFonts w:ascii="Times New Roman" w:hAnsi="Times New Roman" w:cs="Times New Roman"/>
          <w:sz w:val="24"/>
          <w:szCs w:val="24"/>
        </w:rPr>
        <w:t xml:space="preserve"> olup, </w:t>
      </w:r>
      <w:r w:rsidR="002F4944" w:rsidRPr="00054942">
        <w:rPr>
          <w:rFonts w:ascii="Times New Roman" w:hAnsi="Times New Roman" w:cs="Times New Roman"/>
          <w:sz w:val="24"/>
          <w:szCs w:val="24"/>
        </w:rPr>
        <w:t xml:space="preserve"> M</w:t>
      </w:r>
      <w:r w:rsidR="009F6532" w:rsidRPr="00054942">
        <w:rPr>
          <w:rFonts w:ascii="Times New Roman" w:hAnsi="Times New Roman" w:cs="Times New Roman"/>
          <w:sz w:val="24"/>
          <w:szCs w:val="24"/>
        </w:rPr>
        <w:t>ikro dalgaya maruz kalmış plastik paketler</w:t>
      </w:r>
      <w:r w:rsidR="002F4944" w:rsidRPr="00054942">
        <w:rPr>
          <w:rFonts w:ascii="Times New Roman" w:hAnsi="Times New Roman" w:cs="Times New Roman"/>
          <w:sz w:val="24"/>
          <w:szCs w:val="24"/>
        </w:rPr>
        <w:t xml:space="preserve">in </w:t>
      </w:r>
      <w:r w:rsidR="009F6532" w:rsidRPr="00054942">
        <w:rPr>
          <w:rFonts w:ascii="Times New Roman" w:hAnsi="Times New Roman" w:cs="Times New Roman"/>
          <w:sz w:val="24"/>
          <w:szCs w:val="24"/>
        </w:rPr>
        <w:t xml:space="preserve">yan etkilerine bağlı olarak Avrupa Birliğinde </w:t>
      </w:r>
      <w:r w:rsidR="002F4944" w:rsidRPr="00054942">
        <w:rPr>
          <w:rFonts w:ascii="Times New Roman" w:hAnsi="Times New Roman" w:cs="Times New Roman"/>
          <w:sz w:val="24"/>
          <w:szCs w:val="24"/>
        </w:rPr>
        <w:t xml:space="preserve">oluşan </w:t>
      </w:r>
      <w:r w:rsidR="009F6532" w:rsidRPr="00054942">
        <w:rPr>
          <w:rFonts w:ascii="Times New Roman" w:hAnsi="Times New Roman" w:cs="Times New Roman"/>
          <w:sz w:val="24"/>
          <w:szCs w:val="24"/>
        </w:rPr>
        <w:t>büyük skandal</w:t>
      </w:r>
      <w:r w:rsidR="00D76773" w:rsidRPr="00054942">
        <w:rPr>
          <w:rFonts w:ascii="Times New Roman" w:hAnsi="Times New Roman" w:cs="Times New Roman"/>
          <w:sz w:val="24"/>
          <w:szCs w:val="24"/>
        </w:rPr>
        <w:t>ın nedenidir.</w:t>
      </w:r>
      <w:r w:rsidR="002F4944" w:rsidRPr="00054942">
        <w:rPr>
          <w:rFonts w:ascii="Times New Roman" w:hAnsi="Times New Roman" w:cs="Times New Roman"/>
          <w:sz w:val="24"/>
          <w:szCs w:val="24"/>
        </w:rPr>
        <w:t xml:space="preserve"> 2014 yılından sonra, </w:t>
      </w:r>
      <w:proofErr w:type="spellStart"/>
      <w:r w:rsidR="005B5D6E" w:rsidRPr="00054942">
        <w:rPr>
          <w:rFonts w:ascii="Times New Roman" w:hAnsi="Times New Roman" w:cs="Times New Roman"/>
          <w:sz w:val="24"/>
          <w:szCs w:val="24"/>
        </w:rPr>
        <w:t>bisphenol’un</w:t>
      </w:r>
      <w:proofErr w:type="spellEnd"/>
      <w:r w:rsidR="005B5D6E" w:rsidRPr="00054942">
        <w:rPr>
          <w:rFonts w:ascii="Times New Roman" w:hAnsi="Times New Roman" w:cs="Times New Roman"/>
          <w:sz w:val="24"/>
          <w:szCs w:val="24"/>
        </w:rPr>
        <w:t xml:space="preserve"> konserve kutularının içindeki koruyucu ince tabakada kullanılmasının ardından</w:t>
      </w:r>
      <w:r w:rsidR="002F4944" w:rsidRPr="00054942">
        <w:rPr>
          <w:rFonts w:ascii="Times New Roman" w:hAnsi="Times New Roman" w:cs="Times New Roman"/>
          <w:sz w:val="24"/>
          <w:szCs w:val="24"/>
        </w:rPr>
        <w:t>, dikkatler</w:t>
      </w:r>
      <w:r w:rsidR="005B5D6E" w:rsidRPr="00054942">
        <w:rPr>
          <w:rFonts w:ascii="Times New Roman" w:hAnsi="Times New Roman" w:cs="Times New Roman"/>
          <w:sz w:val="24"/>
          <w:szCs w:val="24"/>
        </w:rPr>
        <w:t xml:space="preserve"> uzun raf ömrü olan gıdala</w:t>
      </w:r>
      <w:r w:rsidR="002F4944" w:rsidRPr="00054942">
        <w:rPr>
          <w:rFonts w:ascii="Times New Roman" w:hAnsi="Times New Roman" w:cs="Times New Roman"/>
          <w:sz w:val="24"/>
          <w:szCs w:val="24"/>
        </w:rPr>
        <w:t>ra yönelmiştir. 2015 yılında ve 2016 yılının</w:t>
      </w:r>
      <w:r w:rsidR="005B5D6E" w:rsidRPr="00054942">
        <w:rPr>
          <w:rFonts w:ascii="Times New Roman" w:hAnsi="Times New Roman" w:cs="Times New Roman"/>
          <w:sz w:val="24"/>
          <w:szCs w:val="24"/>
        </w:rPr>
        <w:t xml:space="preserve"> baş</w:t>
      </w:r>
      <w:r w:rsidR="002F4944" w:rsidRPr="00054942">
        <w:rPr>
          <w:rFonts w:ascii="Times New Roman" w:hAnsi="Times New Roman" w:cs="Times New Roman"/>
          <w:sz w:val="24"/>
          <w:szCs w:val="24"/>
        </w:rPr>
        <w:t>ında</w:t>
      </w:r>
      <w:r w:rsidR="00DE6F16" w:rsidRPr="00054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D6E" w:rsidRPr="00054942">
        <w:rPr>
          <w:rFonts w:ascii="Times New Roman" w:hAnsi="Times New Roman" w:cs="Times New Roman"/>
          <w:sz w:val="24"/>
          <w:szCs w:val="24"/>
        </w:rPr>
        <w:t>bi</w:t>
      </w:r>
      <w:r w:rsidR="002F4944" w:rsidRPr="00054942">
        <w:rPr>
          <w:rFonts w:ascii="Times New Roman" w:hAnsi="Times New Roman" w:cs="Times New Roman"/>
          <w:sz w:val="24"/>
          <w:szCs w:val="24"/>
        </w:rPr>
        <w:t>spherol</w:t>
      </w:r>
      <w:proofErr w:type="spellEnd"/>
      <w:r w:rsidR="002F4944" w:rsidRPr="00054942">
        <w:rPr>
          <w:rFonts w:ascii="Times New Roman" w:hAnsi="Times New Roman" w:cs="Times New Roman"/>
          <w:sz w:val="24"/>
          <w:szCs w:val="24"/>
        </w:rPr>
        <w:t xml:space="preserve"> ihtiva eden konserveler nedeniyle </w:t>
      </w:r>
      <w:r w:rsidR="00DE6F16" w:rsidRPr="00054942">
        <w:rPr>
          <w:rFonts w:ascii="Times New Roman" w:hAnsi="Times New Roman" w:cs="Times New Roman"/>
          <w:sz w:val="24"/>
          <w:szCs w:val="24"/>
        </w:rPr>
        <w:t xml:space="preserve">sektörde </w:t>
      </w:r>
      <w:r w:rsidR="005B5D6E" w:rsidRPr="00054942">
        <w:rPr>
          <w:rFonts w:ascii="Times New Roman" w:hAnsi="Times New Roman" w:cs="Times New Roman"/>
          <w:sz w:val="24"/>
          <w:szCs w:val="24"/>
        </w:rPr>
        <w:t>durgunlu</w:t>
      </w:r>
      <w:r w:rsidR="002F4944" w:rsidRPr="00054942">
        <w:rPr>
          <w:rFonts w:ascii="Times New Roman" w:hAnsi="Times New Roman" w:cs="Times New Roman"/>
          <w:sz w:val="24"/>
          <w:szCs w:val="24"/>
        </w:rPr>
        <w:t xml:space="preserve">k yaşamıştır. </w:t>
      </w:r>
    </w:p>
    <w:p w:rsidR="00054942" w:rsidRPr="00054942" w:rsidRDefault="00054942" w:rsidP="00054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047D9" w:rsidRPr="00054942" w:rsidRDefault="00DE6F16" w:rsidP="000549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42">
        <w:rPr>
          <w:rFonts w:ascii="Times New Roman" w:hAnsi="Times New Roman" w:cs="Times New Roman"/>
          <w:sz w:val="24"/>
          <w:szCs w:val="24"/>
        </w:rPr>
        <w:t>Genel olarak b</w:t>
      </w:r>
      <w:r w:rsidR="004047D9" w:rsidRPr="00054942">
        <w:rPr>
          <w:rFonts w:ascii="Times New Roman" w:hAnsi="Times New Roman" w:cs="Times New Roman"/>
          <w:sz w:val="24"/>
          <w:szCs w:val="24"/>
        </w:rPr>
        <w:t>akliyat</w:t>
      </w:r>
      <w:r w:rsidRPr="00054942">
        <w:rPr>
          <w:rFonts w:ascii="Times New Roman" w:hAnsi="Times New Roman" w:cs="Times New Roman"/>
          <w:sz w:val="24"/>
          <w:szCs w:val="24"/>
        </w:rPr>
        <w:t xml:space="preserve"> sektörü</w:t>
      </w:r>
      <w:r w:rsidR="0007709A" w:rsidRPr="00054942">
        <w:rPr>
          <w:rFonts w:ascii="Times New Roman" w:hAnsi="Times New Roman" w:cs="Times New Roman"/>
          <w:sz w:val="24"/>
          <w:szCs w:val="24"/>
        </w:rPr>
        <w:t>nün</w:t>
      </w:r>
      <w:r w:rsidRPr="00054942">
        <w:rPr>
          <w:rFonts w:ascii="Times New Roman" w:hAnsi="Times New Roman" w:cs="Times New Roman"/>
          <w:sz w:val="24"/>
          <w:szCs w:val="24"/>
        </w:rPr>
        <w:t xml:space="preserve"> 2010-2015 yıllarında </w:t>
      </w:r>
      <w:r w:rsidR="004047D9" w:rsidRPr="00054942">
        <w:rPr>
          <w:rFonts w:ascii="Times New Roman" w:hAnsi="Times New Roman" w:cs="Times New Roman"/>
          <w:sz w:val="24"/>
          <w:szCs w:val="24"/>
        </w:rPr>
        <w:t xml:space="preserve">%1 </w:t>
      </w:r>
      <w:r w:rsidR="00B12712" w:rsidRPr="0005494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4047D9" w:rsidRPr="00054942">
        <w:rPr>
          <w:rFonts w:ascii="Times New Roman" w:hAnsi="Times New Roman" w:cs="Times New Roman"/>
          <w:sz w:val="24"/>
          <w:szCs w:val="24"/>
        </w:rPr>
        <w:t>yıllık büyüme oran</w:t>
      </w:r>
      <w:r w:rsidR="0007709A" w:rsidRPr="00054942">
        <w:rPr>
          <w:rFonts w:ascii="Times New Roman" w:hAnsi="Times New Roman" w:cs="Times New Roman"/>
          <w:sz w:val="24"/>
          <w:szCs w:val="24"/>
        </w:rPr>
        <w:t xml:space="preserve">ına erişeceği </w:t>
      </w:r>
      <w:r w:rsidR="004047D9" w:rsidRPr="00054942">
        <w:rPr>
          <w:rFonts w:ascii="Times New Roman" w:hAnsi="Times New Roman" w:cs="Times New Roman"/>
          <w:sz w:val="24"/>
          <w:szCs w:val="24"/>
        </w:rPr>
        <w:t xml:space="preserve">tahmin edilmektedir. Tüketicilerin sağlıklı beslenme </w:t>
      </w:r>
      <w:r w:rsidR="0007709A" w:rsidRPr="00054942">
        <w:rPr>
          <w:rFonts w:ascii="Times New Roman" w:hAnsi="Times New Roman" w:cs="Times New Roman"/>
          <w:sz w:val="24"/>
          <w:szCs w:val="24"/>
        </w:rPr>
        <w:t>alışkanlıkları</w:t>
      </w:r>
      <w:r w:rsidR="005B39DE">
        <w:rPr>
          <w:rFonts w:ascii="Times New Roman" w:hAnsi="Times New Roman" w:cs="Times New Roman"/>
          <w:sz w:val="24"/>
          <w:szCs w:val="24"/>
        </w:rPr>
        <w:t>nın</w:t>
      </w:r>
      <w:r w:rsidR="0007709A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="004047D9" w:rsidRPr="00054942">
        <w:rPr>
          <w:rFonts w:ascii="Times New Roman" w:hAnsi="Times New Roman" w:cs="Times New Roman"/>
          <w:sz w:val="24"/>
          <w:szCs w:val="24"/>
        </w:rPr>
        <w:t>bakliyat ürünlerine olumlu yönde katkı sağlayaca</w:t>
      </w:r>
      <w:r w:rsidR="0007709A" w:rsidRPr="00054942">
        <w:rPr>
          <w:rFonts w:ascii="Times New Roman" w:hAnsi="Times New Roman" w:cs="Times New Roman"/>
          <w:sz w:val="24"/>
          <w:szCs w:val="24"/>
        </w:rPr>
        <w:t>ğı tahmin edilmektedir.</w:t>
      </w:r>
      <w:r w:rsidR="004047D9" w:rsidRPr="0005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42" w:rsidRPr="00054942" w:rsidRDefault="00054942" w:rsidP="0005494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B1394" w:rsidRPr="00054942" w:rsidRDefault="0007709A" w:rsidP="000549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42">
        <w:rPr>
          <w:rFonts w:ascii="Times New Roman" w:hAnsi="Times New Roman" w:cs="Times New Roman"/>
          <w:sz w:val="24"/>
          <w:szCs w:val="24"/>
        </w:rPr>
        <w:t xml:space="preserve">2010-2015 döneminde yurt içi toplam satış hacmindeki </w:t>
      </w:r>
      <w:r w:rsidR="004047D9" w:rsidRPr="00054942">
        <w:rPr>
          <w:rFonts w:ascii="Times New Roman" w:hAnsi="Times New Roman" w:cs="Times New Roman"/>
          <w:sz w:val="24"/>
          <w:szCs w:val="24"/>
        </w:rPr>
        <w:t>%</w:t>
      </w:r>
      <w:r w:rsidR="002F7687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="004047D9" w:rsidRPr="00054942">
        <w:rPr>
          <w:rFonts w:ascii="Times New Roman" w:hAnsi="Times New Roman" w:cs="Times New Roman"/>
          <w:sz w:val="24"/>
          <w:szCs w:val="24"/>
        </w:rPr>
        <w:t>2</w:t>
      </w:r>
      <w:r w:rsidR="002F7687" w:rsidRPr="00054942">
        <w:rPr>
          <w:rFonts w:ascii="Times New Roman" w:hAnsi="Times New Roman" w:cs="Times New Roman"/>
          <w:sz w:val="24"/>
          <w:szCs w:val="24"/>
        </w:rPr>
        <w:t xml:space="preserve"> oranında</w:t>
      </w:r>
      <w:r w:rsidRPr="00054942">
        <w:rPr>
          <w:rFonts w:ascii="Times New Roman" w:hAnsi="Times New Roman" w:cs="Times New Roman"/>
          <w:sz w:val="24"/>
          <w:szCs w:val="24"/>
        </w:rPr>
        <w:t>ki</w:t>
      </w:r>
      <w:r w:rsidR="002F7687" w:rsidRPr="00054942">
        <w:rPr>
          <w:rFonts w:ascii="Times New Roman" w:hAnsi="Times New Roman" w:cs="Times New Roman"/>
          <w:sz w:val="24"/>
          <w:szCs w:val="24"/>
        </w:rPr>
        <w:t xml:space="preserve"> yıllık büyüme </w:t>
      </w:r>
      <w:r w:rsidRPr="00054942">
        <w:rPr>
          <w:rFonts w:ascii="Times New Roman" w:hAnsi="Times New Roman" w:cs="Times New Roman"/>
          <w:sz w:val="24"/>
          <w:szCs w:val="24"/>
        </w:rPr>
        <w:t xml:space="preserve">ile fasulyenin </w:t>
      </w:r>
      <w:r w:rsidR="004047D9" w:rsidRPr="00054942">
        <w:rPr>
          <w:rFonts w:ascii="Times New Roman" w:hAnsi="Times New Roman" w:cs="Times New Roman"/>
          <w:sz w:val="24"/>
          <w:szCs w:val="24"/>
        </w:rPr>
        <w:t>en dinamik bakliyat ürünü olacağı tahmin</w:t>
      </w:r>
      <w:r w:rsidR="002F7687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="004047D9" w:rsidRPr="00054942">
        <w:rPr>
          <w:rFonts w:ascii="Times New Roman" w:hAnsi="Times New Roman" w:cs="Times New Roman"/>
          <w:sz w:val="24"/>
          <w:szCs w:val="24"/>
        </w:rPr>
        <w:t>edilmektedir.</w:t>
      </w:r>
      <w:r w:rsidR="002F7687" w:rsidRPr="0005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42" w:rsidRPr="00054942" w:rsidRDefault="00054942" w:rsidP="0005494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74CD" w:rsidRPr="00054942" w:rsidRDefault="00F5111F" w:rsidP="000549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42">
        <w:rPr>
          <w:rFonts w:ascii="Times New Roman" w:hAnsi="Times New Roman" w:cs="Times New Roman"/>
          <w:sz w:val="24"/>
          <w:szCs w:val="24"/>
        </w:rPr>
        <w:t xml:space="preserve">Mercimek satış hacminde yaşanabilecek </w:t>
      </w:r>
      <w:r w:rsidR="000E77F5" w:rsidRPr="00054942">
        <w:rPr>
          <w:rFonts w:ascii="Times New Roman" w:hAnsi="Times New Roman" w:cs="Times New Roman"/>
          <w:sz w:val="24"/>
          <w:szCs w:val="24"/>
        </w:rPr>
        <w:t>en büyük sor</w:t>
      </w:r>
      <w:r w:rsidRPr="00054942">
        <w:rPr>
          <w:rFonts w:ascii="Times New Roman" w:hAnsi="Times New Roman" w:cs="Times New Roman"/>
          <w:sz w:val="24"/>
          <w:szCs w:val="24"/>
        </w:rPr>
        <w:t xml:space="preserve">un talebin fazla olmasına rağmen arzın yetersizliği olabilecektir. </w:t>
      </w:r>
      <w:r w:rsidR="000E77F5" w:rsidRPr="00054942">
        <w:rPr>
          <w:rFonts w:ascii="Times New Roman" w:hAnsi="Times New Roman" w:cs="Times New Roman"/>
          <w:sz w:val="24"/>
          <w:szCs w:val="24"/>
        </w:rPr>
        <w:t xml:space="preserve">Protein yönünden güçlü özelliğiyle proteinler </w:t>
      </w:r>
      <w:r w:rsidR="004849BD" w:rsidRPr="00054942">
        <w:rPr>
          <w:rFonts w:ascii="Times New Roman" w:hAnsi="Times New Roman" w:cs="Times New Roman"/>
          <w:sz w:val="24"/>
          <w:szCs w:val="24"/>
        </w:rPr>
        <w:t xml:space="preserve">tüketiciler için </w:t>
      </w:r>
      <w:r w:rsidR="000E77F5" w:rsidRPr="00054942">
        <w:rPr>
          <w:rFonts w:ascii="Times New Roman" w:hAnsi="Times New Roman" w:cs="Times New Roman"/>
          <w:sz w:val="24"/>
          <w:szCs w:val="24"/>
        </w:rPr>
        <w:t xml:space="preserve">özellikle kırmızı etin yerini alacaktır. Ancak, </w:t>
      </w:r>
      <w:r w:rsidR="004849BD" w:rsidRPr="00054942">
        <w:rPr>
          <w:rFonts w:ascii="Times New Roman" w:hAnsi="Times New Roman" w:cs="Times New Roman"/>
          <w:sz w:val="24"/>
          <w:szCs w:val="24"/>
        </w:rPr>
        <w:t xml:space="preserve">mercimekler 2014/2015 sezonunda görülen ortalama büyümenin altında seyredebilir, çünkü </w:t>
      </w:r>
      <w:r w:rsidR="008174CD" w:rsidRPr="00054942">
        <w:rPr>
          <w:rFonts w:ascii="Times New Roman" w:hAnsi="Times New Roman" w:cs="Times New Roman"/>
          <w:sz w:val="24"/>
          <w:szCs w:val="24"/>
        </w:rPr>
        <w:t>AOP (</w:t>
      </w:r>
      <w:proofErr w:type="spellStart"/>
      <w:r w:rsidR="008174CD" w:rsidRPr="00054942">
        <w:rPr>
          <w:rFonts w:ascii="Times New Roman" w:hAnsi="Times New Roman" w:cs="Times New Roman"/>
          <w:sz w:val="24"/>
          <w:szCs w:val="24"/>
        </w:rPr>
        <w:t>Appellation</w:t>
      </w:r>
      <w:proofErr w:type="spellEnd"/>
      <w:r w:rsidR="008174CD" w:rsidRPr="0005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4CD" w:rsidRPr="00054942">
        <w:rPr>
          <w:rFonts w:ascii="Times New Roman" w:hAnsi="Times New Roman" w:cs="Times New Roman"/>
          <w:sz w:val="24"/>
          <w:szCs w:val="24"/>
        </w:rPr>
        <w:t>d’Origine</w:t>
      </w:r>
      <w:proofErr w:type="spellEnd"/>
      <w:r w:rsidR="008174CD" w:rsidRPr="0005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4CD" w:rsidRPr="00054942">
        <w:rPr>
          <w:rFonts w:ascii="Times New Roman" w:hAnsi="Times New Roman" w:cs="Times New Roman"/>
          <w:sz w:val="24"/>
          <w:szCs w:val="24"/>
        </w:rPr>
        <w:t>Protegee</w:t>
      </w:r>
      <w:proofErr w:type="spellEnd"/>
      <w:r w:rsidR="00CD7B5E" w:rsidRPr="00054942">
        <w:rPr>
          <w:rFonts w:ascii="Times New Roman" w:hAnsi="Times New Roman" w:cs="Times New Roman"/>
          <w:sz w:val="24"/>
          <w:szCs w:val="24"/>
        </w:rPr>
        <w:t>)</w:t>
      </w:r>
      <w:r w:rsidR="008174CD" w:rsidRPr="00054942">
        <w:rPr>
          <w:rFonts w:ascii="Times New Roman" w:hAnsi="Times New Roman" w:cs="Times New Roman"/>
          <w:sz w:val="24"/>
          <w:szCs w:val="24"/>
        </w:rPr>
        <w:t xml:space="preserve"> isimli</w:t>
      </w:r>
      <w:r w:rsidR="00BC27D9" w:rsidRPr="00054942">
        <w:rPr>
          <w:rFonts w:ascii="Times New Roman" w:hAnsi="Times New Roman" w:cs="Times New Roman"/>
          <w:sz w:val="24"/>
          <w:szCs w:val="24"/>
        </w:rPr>
        <w:t xml:space="preserve"> Avrupa Birliği </w:t>
      </w:r>
      <w:r w:rsidR="00DA5866" w:rsidRPr="00054942">
        <w:rPr>
          <w:rFonts w:ascii="Times New Roman" w:hAnsi="Times New Roman" w:cs="Times New Roman"/>
          <w:sz w:val="24"/>
          <w:szCs w:val="24"/>
        </w:rPr>
        <w:t xml:space="preserve">yönetmelikleri kapsamındaki </w:t>
      </w:r>
      <w:r w:rsidR="00BC27D9" w:rsidRPr="00054942">
        <w:rPr>
          <w:rFonts w:ascii="Times New Roman" w:hAnsi="Times New Roman" w:cs="Times New Roman"/>
          <w:sz w:val="24"/>
          <w:szCs w:val="24"/>
        </w:rPr>
        <w:t>düzenlemeleri</w:t>
      </w:r>
      <w:r w:rsidR="00DA5866" w:rsidRPr="00054942">
        <w:rPr>
          <w:rFonts w:ascii="Times New Roman" w:hAnsi="Times New Roman" w:cs="Times New Roman"/>
          <w:sz w:val="24"/>
          <w:szCs w:val="24"/>
        </w:rPr>
        <w:t>n</w:t>
      </w:r>
      <w:r w:rsidR="00BC27D9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="00037FD1" w:rsidRPr="00054942">
        <w:rPr>
          <w:rFonts w:ascii="Times New Roman" w:hAnsi="Times New Roman" w:cs="Times New Roman"/>
          <w:sz w:val="24"/>
          <w:szCs w:val="24"/>
        </w:rPr>
        <w:t>garantisi altınd</w:t>
      </w:r>
      <w:r w:rsidR="00BC27D9" w:rsidRPr="00054942">
        <w:rPr>
          <w:rFonts w:ascii="Times New Roman" w:hAnsi="Times New Roman" w:cs="Times New Roman"/>
          <w:sz w:val="24"/>
          <w:szCs w:val="24"/>
        </w:rPr>
        <w:t xml:space="preserve">aki </w:t>
      </w:r>
      <w:r w:rsidR="008174CD" w:rsidRPr="00054942">
        <w:rPr>
          <w:rFonts w:ascii="Times New Roman" w:hAnsi="Times New Roman" w:cs="Times New Roman"/>
          <w:sz w:val="24"/>
          <w:szCs w:val="24"/>
        </w:rPr>
        <w:t>yeşil mercimek</w:t>
      </w:r>
      <w:r w:rsidR="004849BD" w:rsidRPr="00054942">
        <w:rPr>
          <w:rFonts w:ascii="Times New Roman" w:hAnsi="Times New Roman" w:cs="Times New Roman"/>
          <w:sz w:val="24"/>
          <w:szCs w:val="24"/>
        </w:rPr>
        <w:t xml:space="preserve">lerin Fransa’da görünmesi neredeyse </w:t>
      </w:r>
      <w:proofErr w:type="gramStart"/>
      <w:r w:rsidR="004849BD" w:rsidRPr="00054942">
        <w:rPr>
          <w:rFonts w:ascii="Times New Roman" w:hAnsi="Times New Roman" w:cs="Times New Roman"/>
          <w:sz w:val="24"/>
          <w:szCs w:val="24"/>
        </w:rPr>
        <w:t>imkansız</w:t>
      </w:r>
      <w:proofErr w:type="gramEnd"/>
      <w:r w:rsidR="00BC27D9" w:rsidRPr="00054942">
        <w:rPr>
          <w:rFonts w:ascii="Times New Roman" w:hAnsi="Times New Roman" w:cs="Times New Roman"/>
          <w:sz w:val="24"/>
          <w:szCs w:val="24"/>
        </w:rPr>
        <w:t xml:space="preserve"> hale gelmiştir.</w:t>
      </w:r>
      <w:r w:rsidR="004849BD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="000E77F5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="001B1394" w:rsidRPr="00054942">
        <w:rPr>
          <w:rFonts w:ascii="Times New Roman" w:hAnsi="Times New Roman" w:cs="Times New Roman"/>
          <w:sz w:val="24"/>
          <w:szCs w:val="24"/>
        </w:rPr>
        <w:t xml:space="preserve">  </w:t>
      </w:r>
      <w:r w:rsidR="002F7687" w:rsidRPr="00054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942" w:rsidRPr="00054942" w:rsidRDefault="00054942" w:rsidP="0005494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B5D6E" w:rsidRPr="00054942" w:rsidRDefault="008174CD" w:rsidP="000549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42">
        <w:rPr>
          <w:rFonts w:ascii="Times New Roman" w:hAnsi="Times New Roman" w:cs="Times New Roman"/>
          <w:sz w:val="24"/>
          <w:szCs w:val="24"/>
        </w:rPr>
        <w:t>Fasulye</w:t>
      </w:r>
      <w:r w:rsidR="00BC27D9" w:rsidRPr="00054942">
        <w:rPr>
          <w:rFonts w:ascii="Times New Roman" w:hAnsi="Times New Roman" w:cs="Times New Roman"/>
          <w:sz w:val="24"/>
          <w:szCs w:val="24"/>
        </w:rPr>
        <w:t xml:space="preserve"> AOP ve IGP gibi Avrupa Birliği yönetmelikleri </w:t>
      </w:r>
      <w:r w:rsidR="00DA5866" w:rsidRPr="00054942">
        <w:rPr>
          <w:rFonts w:ascii="Times New Roman" w:hAnsi="Times New Roman" w:cs="Times New Roman"/>
          <w:sz w:val="24"/>
          <w:szCs w:val="24"/>
        </w:rPr>
        <w:t xml:space="preserve">kapsamındaki düzenlemelerin </w:t>
      </w:r>
      <w:r w:rsidR="00037FD1" w:rsidRPr="00054942">
        <w:rPr>
          <w:rFonts w:ascii="Times New Roman" w:hAnsi="Times New Roman" w:cs="Times New Roman"/>
          <w:sz w:val="24"/>
          <w:szCs w:val="24"/>
        </w:rPr>
        <w:t xml:space="preserve">garantisi altında en tercih edilir ürünler arasında gelmektedir. </w:t>
      </w:r>
      <w:r w:rsidR="004F6762" w:rsidRPr="00054942">
        <w:rPr>
          <w:rFonts w:ascii="Times New Roman" w:hAnsi="Times New Roman" w:cs="Times New Roman"/>
          <w:sz w:val="24"/>
          <w:szCs w:val="24"/>
        </w:rPr>
        <w:t xml:space="preserve">Fransa’da </w:t>
      </w:r>
      <w:r w:rsidR="00887033" w:rsidRPr="00054942">
        <w:rPr>
          <w:rFonts w:ascii="Times New Roman" w:hAnsi="Times New Roman" w:cs="Times New Roman"/>
          <w:sz w:val="24"/>
          <w:szCs w:val="24"/>
        </w:rPr>
        <w:t xml:space="preserve">fasulyeler için </w:t>
      </w:r>
      <w:r w:rsidR="004F6762" w:rsidRPr="00054942">
        <w:rPr>
          <w:rFonts w:ascii="Times New Roman" w:hAnsi="Times New Roman" w:cs="Times New Roman"/>
          <w:sz w:val="24"/>
          <w:szCs w:val="24"/>
        </w:rPr>
        <w:t>1 AOP ve 3 IGP</w:t>
      </w:r>
      <w:r w:rsidR="00DA5866" w:rsidRPr="000549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5866" w:rsidRPr="00054942">
        <w:rPr>
          <w:rFonts w:ascii="Times New Roman" w:hAnsi="Times New Roman" w:cs="Times New Roman"/>
          <w:sz w:val="24"/>
          <w:szCs w:val="24"/>
        </w:rPr>
        <w:t>Indice</w:t>
      </w:r>
      <w:proofErr w:type="spellEnd"/>
      <w:r w:rsidR="00DA5866" w:rsidRPr="0005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866" w:rsidRPr="00054942">
        <w:rPr>
          <w:rFonts w:ascii="Times New Roman" w:hAnsi="Times New Roman" w:cs="Times New Roman"/>
          <w:sz w:val="24"/>
          <w:szCs w:val="24"/>
        </w:rPr>
        <w:t>Geographique</w:t>
      </w:r>
      <w:proofErr w:type="spellEnd"/>
      <w:r w:rsidR="00DA5866" w:rsidRPr="00054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5866" w:rsidRPr="00054942">
        <w:rPr>
          <w:rFonts w:ascii="Times New Roman" w:hAnsi="Times New Roman" w:cs="Times New Roman"/>
          <w:sz w:val="24"/>
          <w:szCs w:val="24"/>
        </w:rPr>
        <w:t>Proximite</w:t>
      </w:r>
      <w:proofErr w:type="spellEnd"/>
      <w:r w:rsidR="00DA5866" w:rsidRPr="00054942">
        <w:rPr>
          <w:rFonts w:ascii="Times New Roman" w:hAnsi="Times New Roman" w:cs="Times New Roman"/>
          <w:sz w:val="24"/>
          <w:szCs w:val="24"/>
        </w:rPr>
        <w:t>)</w:t>
      </w:r>
      <w:r w:rsidR="00887033" w:rsidRPr="00054942">
        <w:rPr>
          <w:rFonts w:ascii="Times New Roman" w:hAnsi="Times New Roman" w:cs="Times New Roman"/>
          <w:sz w:val="24"/>
          <w:szCs w:val="24"/>
        </w:rPr>
        <w:t xml:space="preserve"> bulunmaktadır. </w:t>
      </w:r>
      <w:r w:rsidR="004F6762" w:rsidRPr="00054942">
        <w:rPr>
          <w:rFonts w:ascii="Times New Roman" w:hAnsi="Times New Roman" w:cs="Times New Roman"/>
          <w:sz w:val="24"/>
          <w:szCs w:val="24"/>
        </w:rPr>
        <w:t xml:space="preserve"> </w:t>
      </w:r>
      <w:r w:rsidR="00CD7B5E" w:rsidRPr="0005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9D" w:rsidRPr="005B39DE" w:rsidRDefault="006E7B9D" w:rsidP="004A0C99">
      <w:pPr>
        <w:spacing w:before="225" w:line="372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  <w:r w:rsidRPr="005B39D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KATEGORİ VERİLERİ</w:t>
      </w:r>
    </w:p>
    <w:p w:rsidR="006E7B9D" w:rsidRPr="00DA5866" w:rsidRDefault="006E7B9D" w:rsidP="004A0C9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58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Tablo 1: </w:t>
      </w:r>
      <w:r w:rsidR="00DA5866" w:rsidRPr="00DA58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Ürün Bazında Yurt İçi Bakliyat Satış Hacmi </w:t>
      </w:r>
      <w:r w:rsidRPr="00DA5866">
        <w:rPr>
          <w:rFonts w:ascii="Times New Roman" w:eastAsia="Calibri" w:hAnsi="Times New Roman" w:cs="Times New Roman"/>
          <w:b/>
          <w:i/>
          <w:sz w:val="24"/>
          <w:szCs w:val="24"/>
        </w:rPr>
        <w:t>2010-2015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094"/>
        <w:gridCol w:w="1094"/>
        <w:gridCol w:w="1094"/>
        <w:gridCol w:w="1094"/>
        <w:gridCol w:w="1094"/>
        <w:gridCol w:w="1094"/>
      </w:tblGrid>
      <w:tr w:rsidR="006E7B9D" w:rsidRPr="00DA5866" w:rsidTr="00DA5866">
        <w:trPr>
          <w:tblHeader/>
          <w:tblCellSpacing w:w="0" w:type="dxa"/>
        </w:trPr>
        <w:tc>
          <w:tcPr>
            <w:tcW w:w="0" w:type="auto"/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'000 </w:t>
            </w:r>
            <w:proofErr w:type="spellStart"/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tonnes</w:t>
            </w:r>
            <w:proofErr w:type="spellEnd"/>
          </w:p>
        </w:tc>
        <w:tc>
          <w:tcPr>
            <w:tcW w:w="0" w:type="auto"/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</w:t>
            </w:r>
          </w:p>
        </w:tc>
      </w:tr>
      <w:tr w:rsidR="006E7B9D" w:rsidRPr="00DA5866" w:rsidTr="00DA58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DA5866" w:rsidRDefault="006E7B9D" w:rsidP="004A0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66">
              <w:rPr>
                <w:rFonts w:ascii="Times New Roman" w:hAnsi="Times New Roman" w:cs="Times New Roman"/>
                <w:sz w:val="24"/>
                <w:szCs w:val="24"/>
              </w:rPr>
              <w:t>Fasulye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14.6</w:t>
            </w:r>
          </w:p>
        </w:tc>
      </w:tr>
      <w:tr w:rsidR="006E7B9D" w:rsidRPr="00DA5866" w:rsidTr="00DA58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DA5866" w:rsidRDefault="006E7B9D" w:rsidP="004A0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66">
              <w:rPr>
                <w:rFonts w:ascii="Times New Roman" w:hAnsi="Times New Roman" w:cs="Times New Roman"/>
                <w:sz w:val="24"/>
                <w:szCs w:val="24"/>
              </w:rPr>
              <w:t>Bezelye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27.4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28.0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28.5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29.1</w:t>
            </w:r>
          </w:p>
        </w:tc>
      </w:tr>
      <w:tr w:rsidR="006E7B9D" w:rsidRPr="00DA5866" w:rsidTr="00DA58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DA5866" w:rsidRDefault="006E7B9D" w:rsidP="004A0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66">
              <w:rPr>
                <w:rFonts w:ascii="Times New Roman" w:hAnsi="Times New Roman" w:cs="Times New Roman"/>
                <w:sz w:val="24"/>
                <w:szCs w:val="24"/>
              </w:rPr>
              <w:t>Diğer Bakliyat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40.8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41.6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42.3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43.4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45.7</w:t>
            </w:r>
          </w:p>
        </w:tc>
      </w:tr>
      <w:tr w:rsidR="006E7B9D" w:rsidRPr="004A0C99" w:rsidTr="00DA58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DA5866" w:rsidRDefault="006E7B9D" w:rsidP="004A0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66">
              <w:rPr>
                <w:rFonts w:ascii="Times New Roman" w:hAnsi="Times New Roman" w:cs="Times New Roman"/>
                <w:sz w:val="24"/>
                <w:szCs w:val="24"/>
              </w:rPr>
              <w:t>Bakliyat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79.6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81.4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82.9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84.8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DA5866" w:rsidRDefault="006E7B9D" w:rsidP="004A0C9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DA58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89.5</w:t>
            </w:r>
          </w:p>
        </w:tc>
      </w:tr>
    </w:tbl>
    <w:p w:rsidR="006E7B9D" w:rsidRDefault="006E7B9D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Source: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Euromonitor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International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from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official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statistics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associations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press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company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research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store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checks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interviews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5866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sources</w:t>
      </w:r>
      <w:proofErr w:type="spellEnd"/>
    </w:p>
    <w:p w:rsidR="00B9009B" w:rsidRDefault="00B9009B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</w:p>
    <w:p w:rsidR="006E7B9D" w:rsidRPr="00DA5866" w:rsidRDefault="00DA5866" w:rsidP="004A0C99">
      <w:pPr>
        <w:spacing w:before="150" w:line="37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 w:rsidRPr="00DA586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Tablo</w:t>
      </w:r>
      <w:r w:rsidR="006E7B9D" w:rsidRPr="00DA586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2 </w:t>
      </w:r>
      <w:r w:rsidRPr="00DA586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Ürün Bazında Yurt İçi Toplam Satış Hacmi Büyüme Oranı %</w:t>
      </w:r>
      <w:r w:rsidR="006E7B9D" w:rsidRPr="00DA5866">
        <w:rPr>
          <w:rFonts w:ascii="Times New Roman" w:hAnsi="Times New Roman" w:cs="Times New Roman"/>
          <w:b/>
          <w:sz w:val="24"/>
          <w:szCs w:val="24"/>
        </w:rPr>
        <w:t xml:space="preserve"> 2010-2015</w:t>
      </w:r>
    </w:p>
    <w:tbl>
      <w:tblPr>
        <w:tblW w:w="5000" w:type="pct"/>
        <w:tblCellSpacing w:w="0" w:type="dxa"/>
        <w:tblInd w:w="15" w:type="dxa"/>
        <w:tblBorders>
          <w:bottom w:val="single" w:sz="8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248"/>
        <w:gridCol w:w="2213"/>
        <w:gridCol w:w="1987"/>
      </w:tblGrid>
      <w:tr w:rsidR="006E7B9D" w:rsidRPr="004A0C99" w:rsidTr="00CB63F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% Toplam Hacim Büyümesi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2014/15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2010-15 CAGR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2010/15 Total</w:t>
            </w:r>
          </w:p>
        </w:tc>
      </w:tr>
      <w:tr w:rsidR="006E7B9D" w:rsidRPr="004A0C99" w:rsidTr="00CB63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Fasulye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25.1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Bezelye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7.0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Diğer Bakliyat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12.3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Bakliyat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12.4</w:t>
            </w:r>
          </w:p>
        </w:tc>
      </w:tr>
    </w:tbl>
    <w:p w:rsidR="006E7B9D" w:rsidRPr="00B9009B" w:rsidRDefault="006E7B9D" w:rsidP="00B9009B">
      <w:pPr>
        <w:spacing w:after="0" w:line="372" w:lineRule="auto"/>
        <w:jc w:val="both"/>
        <w:rPr>
          <w:rFonts w:ascii="Times New Roman" w:hAnsi="Times New Roman" w:cs="Times New Roman"/>
          <w:sz w:val="14"/>
          <w:szCs w:val="14"/>
          <w:lang w:eastAsia="tr-TR"/>
        </w:rPr>
      </w:pPr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Source: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Euromonitor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International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from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official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statistics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associations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press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company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research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store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checks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interviews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4"/>
          <w:szCs w:val="14"/>
          <w:lang w:eastAsia="tr-TR"/>
        </w:rPr>
        <w:t>sources</w:t>
      </w:r>
      <w:proofErr w:type="spellEnd"/>
    </w:p>
    <w:p w:rsidR="00B9009B" w:rsidRDefault="00B9009B" w:rsidP="00B9009B">
      <w:pPr>
        <w:spacing w:line="24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CAGR: </w:t>
      </w:r>
      <w:proofErr w:type="spellStart"/>
      <w:r>
        <w:rPr>
          <w:rFonts w:ascii="Calibri" w:hAnsi="Calibri" w:cs="Times New Roman"/>
          <w:sz w:val="16"/>
          <w:szCs w:val="16"/>
        </w:rPr>
        <w:t>Compound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Annual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Growth</w:t>
      </w:r>
      <w:proofErr w:type="spellEnd"/>
      <w:r>
        <w:rPr>
          <w:rFonts w:ascii="Calibri" w:hAnsi="Calibri" w:cs="Times New Roman"/>
          <w:sz w:val="16"/>
          <w:szCs w:val="16"/>
        </w:rPr>
        <w:t xml:space="preserve"> Rate (Yıllık bileşik büyüme oranı)</w:t>
      </w:r>
    </w:p>
    <w:p w:rsidR="006E7B9D" w:rsidRPr="004A0C99" w:rsidRDefault="006E7B9D" w:rsidP="004A0C99">
      <w:pPr>
        <w:spacing w:before="150" w:line="372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</w:pPr>
      <w:proofErr w:type="spellStart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Table</w:t>
      </w:r>
      <w:proofErr w:type="spellEnd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3 </w:t>
      </w:r>
      <w:r w:rsidRPr="004A0C99">
        <w:rPr>
          <w:rFonts w:ascii="Times New Roman" w:hAnsi="Times New Roman" w:cs="Times New Roman"/>
          <w:sz w:val="24"/>
          <w:szCs w:val="24"/>
        </w:rPr>
        <w:t>Ambalajlı-Ambalajsız Bakliyat Satış</w:t>
      </w:r>
      <w:r w:rsidR="00DA7021">
        <w:rPr>
          <w:rFonts w:ascii="Times New Roman" w:hAnsi="Times New Roman" w:cs="Times New Roman"/>
          <w:sz w:val="24"/>
          <w:szCs w:val="24"/>
        </w:rPr>
        <w:t xml:space="preserve"> Oranları </w:t>
      </w:r>
      <w:r w:rsidRPr="004A0C99">
        <w:rPr>
          <w:rFonts w:ascii="Times New Roman" w:hAnsi="Times New Roman" w:cs="Times New Roman"/>
          <w:sz w:val="24"/>
          <w:szCs w:val="24"/>
        </w:rPr>
        <w:t>% Toplam Hacim 2013-2015</w:t>
      </w:r>
    </w:p>
    <w:tbl>
      <w:tblPr>
        <w:tblW w:w="5000" w:type="pct"/>
        <w:tblCellSpacing w:w="0" w:type="dxa"/>
        <w:tblInd w:w="15" w:type="dxa"/>
        <w:tblBorders>
          <w:bottom w:val="single" w:sz="8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1565"/>
        <w:gridCol w:w="1565"/>
        <w:gridCol w:w="1565"/>
      </w:tblGrid>
      <w:tr w:rsidR="006E7B9D" w:rsidRPr="004A0C99" w:rsidTr="00CB63F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% perakende hacmi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</w:t>
            </w:r>
          </w:p>
        </w:tc>
      </w:tr>
      <w:tr w:rsidR="006E7B9D" w:rsidRPr="004A0C99" w:rsidTr="00CB63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Ambalajlı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98.6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Ambalajsız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1.4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</w:tr>
    </w:tbl>
    <w:p w:rsidR="006E7B9D" w:rsidRDefault="006E7B9D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Source: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Euromonitor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International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from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official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statistics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associations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press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company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research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store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checks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interviews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sources</w:t>
      </w:r>
      <w:proofErr w:type="spellEnd"/>
    </w:p>
    <w:p w:rsidR="006E7B9D" w:rsidRPr="004A0C99" w:rsidRDefault="006E7B9D" w:rsidP="004A0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Table</w:t>
      </w:r>
      <w:proofErr w:type="spellEnd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4 </w:t>
      </w:r>
      <w:r w:rsidRPr="004A0C99">
        <w:rPr>
          <w:rFonts w:ascii="Times New Roman" w:hAnsi="Times New Roman" w:cs="Times New Roman"/>
          <w:sz w:val="24"/>
          <w:szCs w:val="24"/>
        </w:rPr>
        <w:t>Standart</w:t>
      </w:r>
      <w:r w:rsidR="00DA7021">
        <w:rPr>
          <w:rFonts w:ascii="Times New Roman" w:hAnsi="Times New Roman" w:cs="Times New Roman"/>
          <w:sz w:val="24"/>
          <w:szCs w:val="24"/>
        </w:rPr>
        <w:t>,</w:t>
      </w:r>
      <w:r w:rsidRPr="004A0C99">
        <w:rPr>
          <w:rFonts w:ascii="Times New Roman" w:hAnsi="Times New Roman" w:cs="Times New Roman"/>
          <w:sz w:val="24"/>
          <w:szCs w:val="24"/>
        </w:rPr>
        <w:t xml:space="preserve"> Organik </w:t>
      </w:r>
      <w:r w:rsidR="00DA7021">
        <w:rPr>
          <w:rFonts w:ascii="Times New Roman" w:hAnsi="Times New Roman" w:cs="Times New Roman"/>
          <w:sz w:val="24"/>
          <w:szCs w:val="24"/>
        </w:rPr>
        <w:t>ve</w:t>
      </w:r>
      <w:r w:rsidRPr="004A0C99">
        <w:rPr>
          <w:rFonts w:ascii="Times New Roman" w:hAnsi="Times New Roman" w:cs="Times New Roman"/>
          <w:sz w:val="24"/>
          <w:szCs w:val="24"/>
        </w:rPr>
        <w:t xml:space="preserve"> Tohum</w:t>
      </w:r>
      <w:r w:rsidR="00DA7021">
        <w:rPr>
          <w:rFonts w:ascii="Times New Roman" w:hAnsi="Times New Roman" w:cs="Times New Roman"/>
          <w:sz w:val="24"/>
          <w:szCs w:val="24"/>
        </w:rPr>
        <w:t>luk</w:t>
      </w:r>
      <w:r w:rsidRPr="004A0C99">
        <w:rPr>
          <w:rFonts w:ascii="Times New Roman" w:hAnsi="Times New Roman" w:cs="Times New Roman"/>
          <w:sz w:val="24"/>
          <w:szCs w:val="24"/>
        </w:rPr>
        <w:t xml:space="preserve"> </w:t>
      </w:r>
      <w:r w:rsidR="00DA7021">
        <w:rPr>
          <w:rFonts w:ascii="Times New Roman" w:hAnsi="Times New Roman" w:cs="Times New Roman"/>
          <w:sz w:val="24"/>
          <w:szCs w:val="24"/>
        </w:rPr>
        <w:t xml:space="preserve">Toplam Yurt İçi Bakliyat Satış Hacmi </w:t>
      </w:r>
      <w:r w:rsidRPr="004A0C99">
        <w:rPr>
          <w:rFonts w:ascii="Times New Roman" w:hAnsi="Times New Roman" w:cs="Times New Roman"/>
          <w:sz w:val="24"/>
          <w:szCs w:val="24"/>
        </w:rPr>
        <w:t>% 2012-2015</w:t>
      </w:r>
    </w:p>
    <w:tbl>
      <w:tblPr>
        <w:tblW w:w="5000" w:type="pct"/>
        <w:tblCellSpacing w:w="0" w:type="dxa"/>
        <w:tblInd w:w="15" w:type="dxa"/>
        <w:tblBorders>
          <w:bottom w:val="single" w:sz="8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1421"/>
        <w:gridCol w:w="1421"/>
        <w:gridCol w:w="1421"/>
        <w:gridCol w:w="1421"/>
      </w:tblGrid>
      <w:tr w:rsidR="006E7B9D" w:rsidRPr="004A0C99" w:rsidTr="00DA7021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% toplam hacim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</w:t>
            </w:r>
          </w:p>
        </w:tc>
      </w:tr>
      <w:tr w:rsidR="006E7B9D" w:rsidRPr="004A0C99" w:rsidTr="00CB63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Bakliyat tohumu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0.7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 xml:space="preserve">Organik / </w:t>
            </w:r>
          </w:p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Bakliyat tohumu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0.2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 xml:space="preserve">Standart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91.1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8.0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</w:tr>
    </w:tbl>
    <w:p w:rsidR="006E7B9D" w:rsidRDefault="006E7B9D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Source: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Euromonitor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International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from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official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statistics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associations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press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company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research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store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checks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interviews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sources</w:t>
      </w:r>
      <w:proofErr w:type="spellEnd"/>
    </w:p>
    <w:p w:rsidR="00B9009B" w:rsidRDefault="00B9009B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</w:p>
    <w:p w:rsidR="00B9009B" w:rsidRPr="00DA7021" w:rsidRDefault="00B9009B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</w:p>
    <w:p w:rsidR="006E7B9D" w:rsidRPr="004A0C99" w:rsidRDefault="006E7B9D" w:rsidP="004A0C99">
      <w:pPr>
        <w:spacing w:before="150" w:line="372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</w:pPr>
      <w:proofErr w:type="spellStart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lastRenderedPageBreak/>
        <w:t>Table</w:t>
      </w:r>
      <w:proofErr w:type="spellEnd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5 </w:t>
      </w:r>
      <w:r w:rsidR="00DA702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Bakliyat Sektöründeki Satış Kanalları </w:t>
      </w:r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% Toplam Hacim 2010-2015</w:t>
      </w:r>
    </w:p>
    <w:tbl>
      <w:tblPr>
        <w:tblW w:w="5000" w:type="pct"/>
        <w:tblCellSpacing w:w="0" w:type="dxa"/>
        <w:tblInd w:w="15" w:type="dxa"/>
        <w:tblBorders>
          <w:bottom w:val="single" w:sz="8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093"/>
        <w:gridCol w:w="1093"/>
        <w:gridCol w:w="1093"/>
        <w:gridCol w:w="1093"/>
        <w:gridCol w:w="1093"/>
        <w:gridCol w:w="1093"/>
      </w:tblGrid>
      <w:tr w:rsidR="006E7B9D" w:rsidRPr="004A0C99" w:rsidTr="00DA7021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% toplam hacim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</w:t>
            </w:r>
          </w:p>
        </w:tc>
      </w:tr>
      <w:tr w:rsidR="006E7B9D" w:rsidRPr="004A0C99" w:rsidTr="00CB63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Perakende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86.1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Gıda Sektörü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13.0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Kurumsal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0.9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100.0</w:t>
            </w:r>
          </w:p>
        </w:tc>
      </w:tr>
    </w:tbl>
    <w:p w:rsidR="006E7B9D" w:rsidRPr="00DA7021" w:rsidRDefault="006E7B9D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Source: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Euromonitor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International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from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official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statistics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associations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press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company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research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store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checks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interviews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sources</w:t>
      </w:r>
      <w:proofErr w:type="spellEnd"/>
    </w:p>
    <w:p w:rsidR="006E7B9D" w:rsidRPr="004A0C99" w:rsidRDefault="006E7B9D" w:rsidP="004A0C99">
      <w:pPr>
        <w:spacing w:before="150" w:line="372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</w:pPr>
      <w:proofErr w:type="spellStart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Table</w:t>
      </w:r>
      <w:proofErr w:type="spellEnd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6 </w:t>
      </w:r>
      <w:r w:rsidR="00DA7021">
        <w:rPr>
          <w:rFonts w:ascii="Times New Roman" w:hAnsi="Times New Roman" w:cs="Times New Roman"/>
          <w:sz w:val="24"/>
          <w:szCs w:val="24"/>
        </w:rPr>
        <w:t xml:space="preserve">Ürün Bazında </w:t>
      </w:r>
      <w:r w:rsidRPr="004A0C99">
        <w:rPr>
          <w:rFonts w:ascii="Times New Roman" w:hAnsi="Times New Roman" w:cs="Times New Roman"/>
          <w:sz w:val="24"/>
          <w:szCs w:val="24"/>
        </w:rPr>
        <w:t xml:space="preserve">Tahmini </w:t>
      </w:r>
      <w:r w:rsidR="00DA7021">
        <w:rPr>
          <w:rFonts w:ascii="Times New Roman" w:hAnsi="Times New Roman" w:cs="Times New Roman"/>
          <w:sz w:val="24"/>
          <w:szCs w:val="24"/>
        </w:rPr>
        <w:t xml:space="preserve">Yurt İçi </w:t>
      </w:r>
      <w:r w:rsidRPr="004A0C99">
        <w:rPr>
          <w:rFonts w:ascii="Times New Roman" w:hAnsi="Times New Roman" w:cs="Times New Roman"/>
          <w:sz w:val="24"/>
          <w:szCs w:val="24"/>
        </w:rPr>
        <w:t xml:space="preserve">Bakliyat </w:t>
      </w:r>
      <w:r w:rsidR="00DA7021">
        <w:rPr>
          <w:rFonts w:ascii="Times New Roman" w:hAnsi="Times New Roman" w:cs="Times New Roman"/>
          <w:sz w:val="24"/>
          <w:szCs w:val="24"/>
        </w:rPr>
        <w:t xml:space="preserve">Toplam </w:t>
      </w:r>
      <w:r w:rsidRPr="004A0C99">
        <w:rPr>
          <w:rFonts w:ascii="Times New Roman" w:hAnsi="Times New Roman" w:cs="Times New Roman"/>
          <w:sz w:val="24"/>
          <w:szCs w:val="24"/>
        </w:rPr>
        <w:t>Satış</w:t>
      </w:r>
      <w:r w:rsidR="00DA7021">
        <w:rPr>
          <w:rFonts w:ascii="Times New Roman" w:hAnsi="Times New Roman" w:cs="Times New Roman"/>
          <w:sz w:val="24"/>
          <w:szCs w:val="24"/>
        </w:rPr>
        <w:t xml:space="preserve"> Hacmi </w:t>
      </w:r>
      <w:r w:rsidRPr="004A0C99">
        <w:rPr>
          <w:rFonts w:ascii="Times New Roman" w:hAnsi="Times New Roman" w:cs="Times New Roman"/>
          <w:sz w:val="24"/>
          <w:szCs w:val="24"/>
        </w:rPr>
        <w:t>2015-2020</w:t>
      </w:r>
    </w:p>
    <w:tbl>
      <w:tblPr>
        <w:tblW w:w="5000" w:type="pct"/>
        <w:tblCellSpacing w:w="0" w:type="dxa"/>
        <w:tblInd w:w="15" w:type="dxa"/>
        <w:tblBorders>
          <w:bottom w:val="single" w:sz="8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094"/>
        <w:gridCol w:w="1094"/>
        <w:gridCol w:w="1094"/>
        <w:gridCol w:w="1094"/>
        <w:gridCol w:w="1094"/>
        <w:gridCol w:w="1094"/>
      </w:tblGrid>
      <w:tr w:rsidR="006E7B9D" w:rsidRPr="004A0C99" w:rsidTr="00CB63F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'000 </w:t>
            </w:r>
            <w:proofErr w:type="spellStart"/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tonnes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8" w:space="0" w:color="5C86A1"/>
              <w:bottom w:val="nil"/>
              <w:right w:val="nil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2020</w:t>
            </w:r>
          </w:p>
        </w:tc>
      </w:tr>
      <w:tr w:rsidR="006E7B9D" w:rsidRPr="004A0C99" w:rsidTr="00CB63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Fasulye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15.9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Bezelye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30.4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Diğer Bakliyat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48.7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Bakliyat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95.1</w:t>
            </w:r>
          </w:p>
        </w:tc>
      </w:tr>
    </w:tbl>
    <w:p w:rsidR="006E7B9D" w:rsidRPr="00DA7021" w:rsidRDefault="006E7B9D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Source: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Euromonitor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International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from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associations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press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company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research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interviews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,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trade</w:t>
      </w:r>
      <w:proofErr w:type="spellEnd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 xml:space="preserve"> </w:t>
      </w:r>
      <w:proofErr w:type="spellStart"/>
      <w:r w:rsidRPr="00DA7021">
        <w:rPr>
          <w:rFonts w:ascii="Times New Roman" w:hAnsi="Times New Roman" w:cs="Times New Roman"/>
          <w:color w:val="909090"/>
          <w:sz w:val="16"/>
          <w:szCs w:val="16"/>
          <w:lang w:eastAsia="tr-TR"/>
        </w:rPr>
        <w:t>sources</w:t>
      </w:r>
      <w:proofErr w:type="spellEnd"/>
    </w:p>
    <w:p w:rsidR="006E7B9D" w:rsidRPr="004A0C99" w:rsidRDefault="006E7B9D" w:rsidP="004A0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Table</w:t>
      </w:r>
      <w:proofErr w:type="spellEnd"/>
      <w:r w:rsidRPr="004A0C9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7 </w:t>
      </w:r>
      <w:r w:rsidR="00DA7021" w:rsidRPr="00DA7021">
        <w:rPr>
          <w:rFonts w:ascii="Times New Roman" w:hAnsi="Times New Roman" w:cs="Times New Roman"/>
          <w:bCs/>
          <w:iCs/>
          <w:color w:val="333333"/>
          <w:lang w:eastAsia="tr-TR"/>
        </w:rPr>
        <w:t>Ürün Bazında</w:t>
      </w:r>
      <w:r w:rsidR="00DA7021" w:rsidRPr="00DA7021">
        <w:rPr>
          <w:rFonts w:ascii="Times New Roman" w:hAnsi="Times New Roman" w:cs="Times New Roman"/>
          <w:b/>
          <w:bCs/>
          <w:i/>
          <w:iCs/>
          <w:color w:val="333333"/>
          <w:lang w:eastAsia="tr-TR"/>
        </w:rPr>
        <w:t xml:space="preserve"> </w:t>
      </w:r>
      <w:r w:rsidRPr="00DA7021">
        <w:rPr>
          <w:rFonts w:ascii="Times New Roman" w:hAnsi="Times New Roman" w:cs="Times New Roman"/>
        </w:rPr>
        <w:t xml:space="preserve">Tahmini </w:t>
      </w:r>
      <w:r w:rsidR="00DA7021" w:rsidRPr="00DA7021">
        <w:rPr>
          <w:rFonts w:ascii="Times New Roman" w:hAnsi="Times New Roman" w:cs="Times New Roman"/>
        </w:rPr>
        <w:t xml:space="preserve">Toplam Yurt İçi </w:t>
      </w:r>
      <w:r w:rsidRPr="00DA7021">
        <w:rPr>
          <w:rFonts w:ascii="Times New Roman" w:hAnsi="Times New Roman" w:cs="Times New Roman"/>
        </w:rPr>
        <w:t>Bakliyat Satış</w:t>
      </w:r>
      <w:r w:rsidR="00DA7021" w:rsidRPr="00DA7021">
        <w:rPr>
          <w:rFonts w:ascii="Times New Roman" w:hAnsi="Times New Roman" w:cs="Times New Roman"/>
        </w:rPr>
        <w:t xml:space="preserve"> Hacmi Büyümesi </w:t>
      </w:r>
      <w:r w:rsidRPr="00DA7021">
        <w:rPr>
          <w:rFonts w:ascii="Times New Roman" w:hAnsi="Times New Roman" w:cs="Times New Roman"/>
        </w:rPr>
        <w:t>% 2015-2020</w:t>
      </w:r>
    </w:p>
    <w:tbl>
      <w:tblPr>
        <w:tblW w:w="5000" w:type="pct"/>
        <w:tblCellSpacing w:w="0" w:type="dxa"/>
        <w:tblInd w:w="15" w:type="dxa"/>
        <w:tblBorders>
          <w:bottom w:val="single" w:sz="8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1279"/>
        <w:gridCol w:w="2268"/>
        <w:gridCol w:w="2037"/>
      </w:tblGrid>
      <w:tr w:rsidR="006E7B9D" w:rsidRPr="004A0C99" w:rsidTr="00DA7021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% toplam hacim büyümesi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2015-20 CAGR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6A1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2015/20 Total</w:t>
            </w:r>
          </w:p>
        </w:tc>
      </w:tr>
      <w:tr w:rsidR="006E7B9D" w:rsidRPr="004A0C99" w:rsidTr="00CB63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Fasulye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8.9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Bezelye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4.7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Diğer Bakliyat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6.5</w:t>
            </w:r>
          </w:p>
        </w:tc>
      </w:tr>
      <w:tr w:rsidR="006E7B9D" w:rsidRPr="004A0C99" w:rsidTr="00DA702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E7B9D" w:rsidRPr="004A0C99" w:rsidRDefault="006E7B9D" w:rsidP="004A0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99">
              <w:rPr>
                <w:rFonts w:ascii="Times New Roman" w:hAnsi="Times New Roman" w:cs="Times New Roman"/>
                <w:sz w:val="24"/>
                <w:szCs w:val="24"/>
              </w:rPr>
              <w:t>Bakliyat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7B9D" w:rsidRPr="004A0C99" w:rsidRDefault="006E7B9D" w:rsidP="004A0C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0C99">
              <w:rPr>
                <w:rFonts w:ascii="Times New Roman" w:hAnsi="Times New Roman" w:cs="Times New Roman"/>
                <w:color w:val="333333"/>
                <w:sz w:val="24"/>
                <w:szCs w:val="24"/>
                <w:lang w:eastAsia="tr-TR"/>
              </w:rPr>
              <w:t>6.3</w:t>
            </w:r>
          </w:p>
        </w:tc>
      </w:tr>
    </w:tbl>
    <w:p w:rsidR="006E7B9D" w:rsidRPr="00B9009B" w:rsidRDefault="006E7B9D" w:rsidP="00B9009B">
      <w:pPr>
        <w:spacing w:after="0" w:line="372" w:lineRule="auto"/>
        <w:jc w:val="both"/>
        <w:rPr>
          <w:rFonts w:ascii="Times New Roman" w:hAnsi="Times New Roman" w:cs="Times New Roman"/>
          <w:sz w:val="16"/>
          <w:szCs w:val="16"/>
          <w:lang w:eastAsia="tr-TR"/>
        </w:rPr>
      </w:pPr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Source: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Euromonitor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 International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from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associations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press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company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research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interviews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trade</w:t>
      </w:r>
      <w:proofErr w:type="spellEnd"/>
      <w:r w:rsidRPr="00B9009B">
        <w:rPr>
          <w:rFonts w:ascii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B9009B">
        <w:rPr>
          <w:rFonts w:ascii="Times New Roman" w:hAnsi="Times New Roman" w:cs="Times New Roman"/>
          <w:sz w:val="16"/>
          <w:szCs w:val="16"/>
          <w:lang w:eastAsia="tr-TR"/>
        </w:rPr>
        <w:t>sources</w:t>
      </w:r>
      <w:proofErr w:type="spellEnd"/>
    </w:p>
    <w:p w:rsidR="00B9009B" w:rsidRDefault="00B9009B" w:rsidP="00B9009B">
      <w:pPr>
        <w:spacing w:line="24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CAGR: </w:t>
      </w:r>
      <w:proofErr w:type="spellStart"/>
      <w:r>
        <w:rPr>
          <w:rFonts w:ascii="Calibri" w:hAnsi="Calibri" w:cs="Times New Roman"/>
          <w:sz w:val="16"/>
          <w:szCs w:val="16"/>
        </w:rPr>
        <w:t>Compound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Annual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Growth</w:t>
      </w:r>
      <w:proofErr w:type="spellEnd"/>
      <w:r>
        <w:rPr>
          <w:rFonts w:ascii="Calibri" w:hAnsi="Calibri" w:cs="Times New Roman"/>
          <w:sz w:val="16"/>
          <w:szCs w:val="16"/>
        </w:rPr>
        <w:t xml:space="preserve"> Rate (Yıllık bileşik büyüme oranı)</w:t>
      </w:r>
    </w:p>
    <w:p w:rsidR="00B9009B" w:rsidRPr="00DA7021" w:rsidRDefault="00B9009B" w:rsidP="004A0C99">
      <w:pPr>
        <w:spacing w:line="372" w:lineRule="auto"/>
        <w:jc w:val="both"/>
        <w:rPr>
          <w:rFonts w:ascii="Times New Roman" w:hAnsi="Times New Roman" w:cs="Times New Roman"/>
          <w:color w:val="909090"/>
          <w:sz w:val="16"/>
          <w:szCs w:val="16"/>
          <w:lang w:eastAsia="tr-TR"/>
        </w:rPr>
      </w:pPr>
    </w:p>
    <w:sectPr w:rsidR="00B9009B" w:rsidRPr="00DA7021" w:rsidSect="00B9009B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21" w:rsidRDefault="00DA7021" w:rsidP="00DA7021">
      <w:pPr>
        <w:spacing w:after="0" w:line="240" w:lineRule="auto"/>
      </w:pPr>
      <w:r>
        <w:separator/>
      </w:r>
    </w:p>
  </w:endnote>
  <w:endnote w:type="continuationSeparator" w:id="0">
    <w:p w:rsidR="00DA7021" w:rsidRDefault="00DA7021" w:rsidP="00DA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00330"/>
      <w:docPartObj>
        <w:docPartGallery w:val="Page Numbers (Bottom of Page)"/>
        <w:docPartUnique/>
      </w:docPartObj>
    </w:sdtPr>
    <w:sdtEndPr/>
    <w:sdtContent>
      <w:p w:rsidR="00A077EB" w:rsidRDefault="00A077E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B9">
          <w:rPr>
            <w:noProof/>
          </w:rPr>
          <w:t>1</w:t>
        </w:r>
        <w:r>
          <w:fldChar w:fldCharType="end"/>
        </w:r>
      </w:p>
    </w:sdtContent>
  </w:sdt>
  <w:p w:rsidR="00A077EB" w:rsidRDefault="00A077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21" w:rsidRDefault="00DA7021" w:rsidP="00DA7021">
      <w:pPr>
        <w:spacing w:after="0" w:line="240" w:lineRule="auto"/>
      </w:pPr>
      <w:r>
        <w:separator/>
      </w:r>
    </w:p>
  </w:footnote>
  <w:footnote w:type="continuationSeparator" w:id="0">
    <w:p w:rsidR="00DA7021" w:rsidRDefault="00DA7021" w:rsidP="00DA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E2"/>
    <w:multiLevelType w:val="hybridMultilevel"/>
    <w:tmpl w:val="137CBBF8"/>
    <w:lvl w:ilvl="0" w:tplc="4DECC80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34DC0"/>
    <w:multiLevelType w:val="hybridMultilevel"/>
    <w:tmpl w:val="DFF4578E"/>
    <w:lvl w:ilvl="0" w:tplc="BDC4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4"/>
    <w:rsid w:val="00025021"/>
    <w:rsid w:val="00037FD1"/>
    <w:rsid w:val="00043AFB"/>
    <w:rsid w:val="00054942"/>
    <w:rsid w:val="00060ACB"/>
    <w:rsid w:val="0007709A"/>
    <w:rsid w:val="000C515F"/>
    <w:rsid w:val="000E77F5"/>
    <w:rsid w:val="000F5E2C"/>
    <w:rsid w:val="00131977"/>
    <w:rsid w:val="00153700"/>
    <w:rsid w:val="00181974"/>
    <w:rsid w:val="001B1394"/>
    <w:rsid w:val="001C155A"/>
    <w:rsid w:val="001E79BD"/>
    <w:rsid w:val="001F6A6D"/>
    <w:rsid w:val="00211835"/>
    <w:rsid w:val="00226B8A"/>
    <w:rsid w:val="00227682"/>
    <w:rsid w:val="002406D3"/>
    <w:rsid w:val="0026065B"/>
    <w:rsid w:val="00272E2E"/>
    <w:rsid w:val="002C211E"/>
    <w:rsid w:val="002E1969"/>
    <w:rsid w:val="002F4944"/>
    <w:rsid w:val="002F7687"/>
    <w:rsid w:val="0033393D"/>
    <w:rsid w:val="0036218F"/>
    <w:rsid w:val="00380665"/>
    <w:rsid w:val="00394825"/>
    <w:rsid w:val="004047D9"/>
    <w:rsid w:val="004533A5"/>
    <w:rsid w:val="004849BD"/>
    <w:rsid w:val="004A0C99"/>
    <w:rsid w:val="004F6762"/>
    <w:rsid w:val="005362B9"/>
    <w:rsid w:val="005A35D0"/>
    <w:rsid w:val="005B39DE"/>
    <w:rsid w:val="005B5D6E"/>
    <w:rsid w:val="005C0C24"/>
    <w:rsid w:val="005D445B"/>
    <w:rsid w:val="005F4C29"/>
    <w:rsid w:val="00676159"/>
    <w:rsid w:val="006E6A59"/>
    <w:rsid w:val="006E7B9D"/>
    <w:rsid w:val="0071116A"/>
    <w:rsid w:val="008174CD"/>
    <w:rsid w:val="00844230"/>
    <w:rsid w:val="00862C5E"/>
    <w:rsid w:val="00863874"/>
    <w:rsid w:val="00887033"/>
    <w:rsid w:val="008E1AFD"/>
    <w:rsid w:val="009144EF"/>
    <w:rsid w:val="00927F56"/>
    <w:rsid w:val="00951FC2"/>
    <w:rsid w:val="009C2A38"/>
    <w:rsid w:val="009C4455"/>
    <w:rsid w:val="009F6532"/>
    <w:rsid w:val="00A077EB"/>
    <w:rsid w:val="00A724AA"/>
    <w:rsid w:val="00A7580D"/>
    <w:rsid w:val="00B12712"/>
    <w:rsid w:val="00B339FB"/>
    <w:rsid w:val="00B43008"/>
    <w:rsid w:val="00B9009B"/>
    <w:rsid w:val="00B95EA4"/>
    <w:rsid w:val="00BC27D9"/>
    <w:rsid w:val="00C0096B"/>
    <w:rsid w:val="00C13D32"/>
    <w:rsid w:val="00C70F7C"/>
    <w:rsid w:val="00CD7B5E"/>
    <w:rsid w:val="00CE3122"/>
    <w:rsid w:val="00D05F23"/>
    <w:rsid w:val="00D101B2"/>
    <w:rsid w:val="00D76773"/>
    <w:rsid w:val="00DA5866"/>
    <w:rsid w:val="00DA7021"/>
    <w:rsid w:val="00DD5363"/>
    <w:rsid w:val="00DE6F16"/>
    <w:rsid w:val="00DF58DD"/>
    <w:rsid w:val="00E06B24"/>
    <w:rsid w:val="00E07819"/>
    <w:rsid w:val="00E1378E"/>
    <w:rsid w:val="00E56E60"/>
    <w:rsid w:val="00E66219"/>
    <w:rsid w:val="00E9215F"/>
    <w:rsid w:val="00E9444C"/>
    <w:rsid w:val="00EA1010"/>
    <w:rsid w:val="00EB6F53"/>
    <w:rsid w:val="00EF2825"/>
    <w:rsid w:val="00F06422"/>
    <w:rsid w:val="00F23161"/>
    <w:rsid w:val="00F5111F"/>
    <w:rsid w:val="00F95AD3"/>
    <w:rsid w:val="00FA5A74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4EF"/>
    <w:pPr>
      <w:ind w:left="720"/>
      <w:contextualSpacing/>
    </w:pPr>
  </w:style>
  <w:style w:type="table" w:styleId="TabloKlavuzu">
    <w:name w:val="Table Grid"/>
    <w:basedOn w:val="NormalTablo"/>
    <w:uiPriority w:val="59"/>
    <w:rsid w:val="0015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7021"/>
  </w:style>
  <w:style w:type="paragraph" w:styleId="Altbilgi">
    <w:name w:val="footer"/>
    <w:basedOn w:val="Normal"/>
    <w:link w:val="AltbilgiChar"/>
    <w:uiPriority w:val="99"/>
    <w:unhideWhenUsed/>
    <w:rsid w:val="00DA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4EF"/>
    <w:pPr>
      <w:ind w:left="720"/>
      <w:contextualSpacing/>
    </w:pPr>
  </w:style>
  <w:style w:type="table" w:styleId="TabloKlavuzu">
    <w:name w:val="Table Grid"/>
    <w:basedOn w:val="NormalTablo"/>
    <w:uiPriority w:val="59"/>
    <w:rsid w:val="0015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7021"/>
  </w:style>
  <w:style w:type="paragraph" w:styleId="Altbilgi">
    <w:name w:val="footer"/>
    <w:basedOn w:val="Normal"/>
    <w:link w:val="AltbilgiChar"/>
    <w:uiPriority w:val="99"/>
    <w:unhideWhenUsed/>
    <w:rsid w:val="00DA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Senel</dc:creator>
  <cp:keywords/>
  <dc:description/>
  <cp:lastModifiedBy>Okan Senel</cp:lastModifiedBy>
  <cp:revision>60</cp:revision>
  <dcterms:created xsi:type="dcterms:W3CDTF">2016-06-02T12:38:00Z</dcterms:created>
  <dcterms:modified xsi:type="dcterms:W3CDTF">2016-06-07T07:55:00Z</dcterms:modified>
</cp:coreProperties>
</file>